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261" w:firstLineChars="50"/>
        <w:rPr>
          <w:rFonts w:hint="eastAsia"/>
          <w:sz w:val="52"/>
          <w:szCs w:val="52"/>
        </w:rPr>
      </w:pPr>
      <w:r>
        <w:rPr>
          <w:rFonts w:hint="eastAsia"/>
          <w:b/>
          <w:sz w:val="52"/>
          <w:szCs w:val="52"/>
        </w:rPr>
        <w:t>X</w:t>
      </w:r>
      <w:r>
        <w:rPr>
          <w:rFonts w:hint="eastAsia"/>
          <w:sz w:val="52"/>
          <w:szCs w:val="52"/>
        </w:rPr>
        <w:t>CRS74-400×300型</w:t>
      </w:r>
    </w:p>
    <w:p>
      <w:pPr>
        <w:jc w:val="center"/>
        <w:rPr>
          <w:rFonts w:hint="eastAsia" w:ascii="宋体" w:hAnsi="宋体"/>
          <w:sz w:val="72"/>
          <w:szCs w:val="72"/>
        </w:rPr>
      </w:pPr>
      <w:r>
        <w:rPr>
          <w:rFonts w:hint="eastAsia" w:ascii="宋体" w:hAnsi="宋体"/>
          <w:sz w:val="72"/>
          <w:szCs w:val="72"/>
        </w:rPr>
        <w:t>鼓型湿式弱磁选机</w:t>
      </w:r>
    </w:p>
    <w:p>
      <w:pPr>
        <w:spacing w:before="156" w:beforeLines="50" w:after="156" w:afterLines="50" w:line="360" w:lineRule="auto"/>
        <w:rPr>
          <w:rFonts w:hint="eastAsia"/>
          <w:szCs w:val="21"/>
        </w:rPr>
      </w:pPr>
    </w:p>
    <w:p>
      <w:pPr>
        <w:jc w:val="center"/>
        <w:rPr>
          <w:rFonts w:hint="eastAsia" w:ascii="楷体" w:hAnsi="楷体" w:eastAsia="楷体"/>
          <w:sz w:val="18"/>
          <w:szCs w:val="18"/>
        </w:rPr>
      </w:pPr>
      <w:r>
        <w:rPr>
          <w:rFonts w:hint="eastAsia" w:ascii="楷体" w:hAnsi="楷体" w:eastAsia="楷体"/>
          <w:sz w:val="96"/>
          <w:szCs w:val="96"/>
        </w:rPr>
        <w:t>使</w:t>
      </w:r>
    </w:p>
    <w:p>
      <w:pPr>
        <w:jc w:val="center"/>
        <w:rPr>
          <w:rFonts w:hint="eastAsia" w:ascii="楷体" w:hAnsi="楷体" w:eastAsia="楷体"/>
          <w:sz w:val="18"/>
          <w:szCs w:val="18"/>
        </w:rPr>
      </w:pPr>
    </w:p>
    <w:p>
      <w:pPr>
        <w:jc w:val="center"/>
        <w:rPr>
          <w:rFonts w:hint="eastAsia" w:ascii="楷体" w:hAnsi="楷体" w:eastAsia="楷体"/>
          <w:sz w:val="18"/>
          <w:szCs w:val="18"/>
        </w:rPr>
      </w:pPr>
      <w:r>
        <w:rPr>
          <w:rFonts w:hint="eastAsia" w:ascii="楷体" w:hAnsi="楷体" w:eastAsia="楷体"/>
          <w:sz w:val="96"/>
          <w:szCs w:val="96"/>
        </w:rPr>
        <w:t>用</w:t>
      </w:r>
    </w:p>
    <w:p>
      <w:pPr>
        <w:jc w:val="center"/>
        <w:rPr>
          <w:rFonts w:hint="eastAsia" w:ascii="楷体" w:hAnsi="楷体" w:eastAsia="楷体"/>
          <w:sz w:val="18"/>
          <w:szCs w:val="18"/>
        </w:rPr>
      </w:pPr>
    </w:p>
    <w:p>
      <w:pPr>
        <w:jc w:val="center"/>
        <w:rPr>
          <w:rFonts w:hint="eastAsia" w:ascii="楷体" w:hAnsi="楷体" w:eastAsia="楷体"/>
          <w:sz w:val="18"/>
          <w:szCs w:val="18"/>
        </w:rPr>
      </w:pPr>
      <w:r>
        <w:rPr>
          <w:rFonts w:hint="eastAsia" w:ascii="楷体" w:hAnsi="楷体" w:eastAsia="楷体"/>
          <w:sz w:val="96"/>
          <w:szCs w:val="96"/>
        </w:rPr>
        <w:t>说</w:t>
      </w:r>
    </w:p>
    <w:p>
      <w:pPr>
        <w:jc w:val="center"/>
        <w:rPr>
          <w:rFonts w:hint="eastAsia" w:ascii="楷体" w:hAnsi="楷体" w:eastAsia="楷体"/>
          <w:sz w:val="18"/>
          <w:szCs w:val="18"/>
        </w:rPr>
      </w:pPr>
    </w:p>
    <w:p>
      <w:pPr>
        <w:jc w:val="center"/>
        <w:rPr>
          <w:rFonts w:hint="eastAsia" w:ascii="楷体" w:hAnsi="楷体" w:eastAsia="楷体"/>
          <w:sz w:val="18"/>
          <w:szCs w:val="18"/>
        </w:rPr>
      </w:pPr>
      <w:r>
        <w:rPr>
          <w:rFonts w:hint="eastAsia" w:ascii="楷体" w:hAnsi="楷体" w:eastAsia="楷体"/>
          <w:sz w:val="96"/>
          <w:szCs w:val="96"/>
        </w:rPr>
        <w:t>明</w:t>
      </w:r>
    </w:p>
    <w:p>
      <w:pPr>
        <w:jc w:val="center"/>
        <w:rPr>
          <w:rFonts w:hint="eastAsia" w:ascii="楷体" w:hAnsi="楷体" w:eastAsia="楷体"/>
          <w:sz w:val="18"/>
          <w:szCs w:val="18"/>
        </w:rPr>
      </w:pPr>
    </w:p>
    <w:p>
      <w:pPr>
        <w:jc w:val="center"/>
        <w:rPr>
          <w:rFonts w:hint="eastAsia" w:ascii="楷体" w:hAnsi="楷体" w:eastAsia="楷体"/>
          <w:szCs w:val="21"/>
        </w:rPr>
      </w:pPr>
      <w:r>
        <w:rPr>
          <w:rFonts w:hint="eastAsia" w:ascii="楷体" w:hAnsi="楷体" w:eastAsia="楷体"/>
          <w:sz w:val="96"/>
          <w:szCs w:val="96"/>
        </w:rPr>
        <w:t>书</w:t>
      </w: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sz w:val="48"/>
          <w:szCs w:val="48"/>
        </w:rPr>
      </w:pPr>
      <w:r>
        <w:rPr>
          <w:rFonts w:hint="eastAsia"/>
          <w:b/>
          <w:sz w:val="28"/>
          <w:szCs w:val="28"/>
        </w:rPr>
        <w:t xml:space="preserve">                     </w:t>
      </w:r>
      <w:r>
        <w:rPr>
          <w:rFonts w:hint="eastAsia"/>
          <w:b/>
          <w:sz w:val="48"/>
          <w:szCs w:val="48"/>
        </w:rPr>
        <w:t xml:space="preserve"> </w:t>
      </w:r>
      <w:r>
        <w:rPr>
          <w:rFonts w:hint="eastAsia"/>
          <w:sz w:val="48"/>
          <w:szCs w:val="48"/>
        </w:rPr>
        <w:t xml:space="preserve"> 目录</w:t>
      </w:r>
    </w:p>
    <w:p>
      <w:pPr>
        <w:rPr>
          <w:rFonts w:hint="eastAsia"/>
          <w:sz w:val="48"/>
          <w:szCs w:val="48"/>
        </w:rPr>
      </w:pPr>
    </w:p>
    <w:p>
      <w:pPr>
        <w:ind w:firstLine="627" w:firstLineChars="196"/>
        <w:rPr>
          <w:rFonts w:hint="eastAsia"/>
          <w:sz w:val="32"/>
          <w:szCs w:val="32"/>
        </w:rPr>
      </w:pPr>
      <w:r>
        <w:rPr>
          <w:rFonts w:hint="eastAsia"/>
          <w:sz w:val="32"/>
          <w:szCs w:val="32"/>
        </w:rPr>
        <w:t>一、用途</w:t>
      </w:r>
    </w:p>
    <w:p>
      <w:pPr>
        <w:ind w:firstLine="627" w:firstLineChars="196"/>
        <w:rPr>
          <w:rFonts w:hint="eastAsia"/>
          <w:sz w:val="32"/>
          <w:szCs w:val="32"/>
        </w:rPr>
      </w:pPr>
      <w:r>
        <w:rPr>
          <w:rFonts w:hint="eastAsia"/>
          <w:sz w:val="32"/>
          <w:szCs w:val="32"/>
        </w:rPr>
        <w:t>二、技术规格</w:t>
      </w:r>
    </w:p>
    <w:p>
      <w:pPr>
        <w:ind w:firstLine="627" w:firstLineChars="196"/>
        <w:rPr>
          <w:rFonts w:hint="eastAsia"/>
          <w:sz w:val="32"/>
          <w:szCs w:val="32"/>
        </w:rPr>
      </w:pPr>
      <w:r>
        <w:rPr>
          <w:rFonts w:hint="eastAsia"/>
          <w:sz w:val="32"/>
          <w:szCs w:val="32"/>
        </w:rPr>
        <w:t>三、结构简介及特点</w:t>
      </w:r>
    </w:p>
    <w:p>
      <w:pPr>
        <w:ind w:firstLine="627" w:firstLineChars="196"/>
        <w:rPr>
          <w:rFonts w:hint="eastAsia"/>
          <w:sz w:val="32"/>
          <w:szCs w:val="32"/>
        </w:rPr>
      </w:pPr>
      <w:r>
        <w:rPr>
          <w:rFonts w:hint="eastAsia"/>
          <w:sz w:val="32"/>
          <w:szCs w:val="32"/>
        </w:rPr>
        <w:t>四、安装使用维护</w:t>
      </w:r>
    </w:p>
    <w:p>
      <w:pPr>
        <w:ind w:firstLine="627" w:firstLineChars="196"/>
        <w:rPr>
          <w:rFonts w:hint="eastAsia"/>
          <w:sz w:val="32"/>
          <w:szCs w:val="32"/>
        </w:rPr>
      </w:pPr>
      <w:r>
        <w:rPr>
          <w:rFonts w:hint="eastAsia"/>
          <w:sz w:val="32"/>
          <w:szCs w:val="32"/>
        </w:rPr>
        <w:t>五、鼓形磁选机磁场分布图</w:t>
      </w:r>
    </w:p>
    <w:p>
      <w:pPr>
        <w:ind w:firstLine="627" w:firstLineChars="196"/>
        <w:rPr>
          <w:rFonts w:hint="eastAsia"/>
          <w:sz w:val="32"/>
          <w:szCs w:val="32"/>
        </w:rPr>
      </w:pPr>
      <w:r>
        <w:rPr>
          <w:rFonts w:hint="eastAsia"/>
          <w:sz w:val="32"/>
          <w:szCs w:val="32"/>
        </w:rPr>
        <w:t>六、鼓形磁选机磁场- -电流关系图</w:t>
      </w:r>
    </w:p>
    <w:p>
      <w:pPr>
        <w:rPr>
          <w:rFonts w:hint="eastAsia"/>
          <w:sz w:val="32"/>
          <w:szCs w:val="32"/>
        </w:rPr>
      </w:pPr>
    </w:p>
    <w:p>
      <w:pPr>
        <w:rPr>
          <w:rFonts w:hint="eastAsia"/>
          <w:b/>
          <w:sz w:val="32"/>
          <w:szCs w:val="32"/>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r>
        <w:rPr>
          <w:rFonts w:hint="eastAsia"/>
          <w:b/>
          <w:sz w:val="28"/>
          <w:szCs w:val="28"/>
        </w:rPr>
        <w:t>一、用途</w:t>
      </w:r>
    </w:p>
    <w:p>
      <w:pPr>
        <w:spacing w:line="360" w:lineRule="auto"/>
        <w:ind w:firstLine="544" w:firstLineChars="200"/>
        <w:rPr>
          <w:rFonts w:hint="eastAsia"/>
          <w:spacing w:val="16"/>
          <w:sz w:val="24"/>
        </w:rPr>
      </w:pPr>
      <w:r>
        <w:rPr>
          <w:rFonts w:hint="eastAsia"/>
          <w:spacing w:val="16"/>
          <w:sz w:val="24"/>
        </w:rPr>
        <w:t>XCRS型鼓形湿式弱磁选机主要应用于金属选矿实验室。它利用湿式方法对细粒强磁性矿石进行磁选，选别形式为顺流式。XCRS型鼓形湿式弱磁选机体积小、重量轻，操作简单、维护方便。该设备不宜进行带有腐蚀性液体的选矿试验</w:t>
      </w:r>
      <w:r>
        <w:rPr>
          <w:rFonts w:hint="eastAsia"/>
          <w:b/>
          <w:spacing w:val="16"/>
          <w:sz w:val="24"/>
        </w:rPr>
        <w:t>，应可靠接地</w:t>
      </w:r>
      <w:r>
        <w:rPr>
          <w:rFonts w:hint="eastAsia"/>
          <w:spacing w:val="16"/>
          <w:sz w:val="24"/>
        </w:rPr>
        <w:t>。</w:t>
      </w:r>
    </w:p>
    <w:p>
      <w:pPr>
        <w:rPr>
          <w:rFonts w:hint="eastAsia"/>
          <w:b/>
          <w:sz w:val="28"/>
          <w:szCs w:val="28"/>
        </w:rPr>
      </w:pPr>
      <w:r>
        <w:rPr>
          <w:rFonts w:hint="eastAsia"/>
          <w:b/>
          <w:sz w:val="28"/>
          <w:szCs w:val="28"/>
        </w:rPr>
        <w:t>二、技术规格</w:t>
      </w:r>
    </w:p>
    <w:tbl>
      <w:tblPr>
        <w:tblStyle w:val="4"/>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3060"/>
        <w:gridCol w:w="126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noWrap w:val="0"/>
            <w:vAlign w:val="center"/>
          </w:tcPr>
          <w:p>
            <w:pPr>
              <w:ind w:firstLine="280" w:firstLineChars="100"/>
              <w:jc w:val="center"/>
              <w:rPr>
                <w:rFonts w:hint="eastAsia"/>
                <w:kern w:val="0"/>
                <w:sz w:val="28"/>
                <w:szCs w:val="28"/>
              </w:rPr>
            </w:pPr>
            <w:r>
              <w:rPr>
                <w:rFonts w:hint="eastAsia"/>
                <w:kern w:val="0"/>
                <w:sz w:val="28"/>
                <w:szCs w:val="28"/>
              </w:rPr>
              <w:t>序号</w:t>
            </w:r>
          </w:p>
        </w:tc>
        <w:tc>
          <w:tcPr>
            <w:tcW w:w="3060" w:type="dxa"/>
            <w:noWrap w:val="0"/>
            <w:vAlign w:val="center"/>
          </w:tcPr>
          <w:p>
            <w:pPr>
              <w:jc w:val="center"/>
              <w:rPr>
                <w:rFonts w:hint="eastAsia"/>
                <w:kern w:val="0"/>
                <w:sz w:val="28"/>
                <w:szCs w:val="28"/>
              </w:rPr>
            </w:pPr>
            <w:r>
              <w:rPr>
                <w:rFonts w:hint="eastAsia"/>
                <w:kern w:val="0"/>
                <w:sz w:val="28"/>
                <w:szCs w:val="28"/>
              </w:rPr>
              <w:t>名  称</w:t>
            </w:r>
          </w:p>
        </w:tc>
        <w:tc>
          <w:tcPr>
            <w:tcW w:w="1260" w:type="dxa"/>
            <w:noWrap w:val="0"/>
            <w:vAlign w:val="center"/>
          </w:tcPr>
          <w:p>
            <w:pPr>
              <w:ind w:firstLine="140" w:firstLineChars="50"/>
              <w:jc w:val="center"/>
              <w:rPr>
                <w:rFonts w:hint="eastAsia"/>
                <w:kern w:val="0"/>
                <w:sz w:val="28"/>
                <w:szCs w:val="28"/>
              </w:rPr>
            </w:pPr>
            <w:r>
              <w:rPr>
                <w:rFonts w:hint="eastAsia"/>
                <w:kern w:val="0"/>
                <w:sz w:val="28"/>
                <w:szCs w:val="28"/>
              </w:rPr>
              <w:t>单  位</w:t>
            </w:r>
          </w:p>
        </w:tc>
        <w:tc>
          <w:tcPr>
            <w:tcW w:w="2520" w:type="dxa"/>
            <w:noWrap w:val="0"/>
            <w:vAlign w:val="center"/>
          </w:tcPr>
          <w:p>
            <w:pPr>
              <w:ind w:firstLine="560" w:firstLineChars="200"/>
              <w:jc w:val="center"/>
              <w:rPr>
                <w:rFonts w:hint="eastAsia"/>
                <w:kern w:val="0"/>
                <w:sz w:val="28"/>
                <w:szCs w:val="28"/>
              </w:rPr>
            </w:pPr>
            <w:r>
              <w:rPr>
                <w:rFonts w:hint="eastAsia"/>
                <w:kern w:val="0"/>
                <w:sz w:val="28"/>
                <w:szCs w:val="28"/>
              </w:rPr>
              <w:t>数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noWrap w:val="0"/>
            <w:vAlign w:val="center"/>
          </w:tcPr>
          <w:p>
            <w:pPr>
              <w:jc w:val="center"/>
              <w:rPr>
                <w:rFonts w:hint="eastAsia"/>
                <w:kern w:val="0"/>
                <w:sz w:val="28"/>
                <w:szCs w:val="28"/>
              </w:rPr>
            </w:pPr>
            <w:r>
              <w:rPr>
                <w:rFonts w:hint="eastAsia"/>
                <w:kern w:val="0"/>
                <w:sz w:val="28"/>
                <w:szCs w:val="28"/>
              </w:rPr>
              <w:t>1</w:t>
            </w:r>
          </w:p>
        </w:tc>
        <w:tc>
          <w:tcPr>
            <w:tcW w:w="3060" w:type="dxa"/>
            <w:noWrap w:val="0"/>
            <w:vAlign w:val="center"/>
          </w:tcPr>
          <w:p>
            <w:pPr>
              <w:jc w:val="center"/>
              <w:rPr>
                <w:rFonts w:hint="eastAsia"/>
                <w:kern w:val="0"/>
                <w:sz w:val="28"/>
                <w:szCs w:val="28"/>
              </w:rPr>
            </w:pPr>
            <w:r>
              <w:rPr>
                <w:rFonts w:hint="eastAsia"/>
                <w:kern w:val="0"/>
                <w:sz w:val="28"/>
                <w:szCs w:val="28"/>
              </w:rPr>
              <w:t>磁鼓有效尺寸</w:t>
            </w:r>
          </w:p>
        </w:tc>
        <w:tc>
          <w:tcPr>
            <w:tcW w:w="1260" w:type="dxa"/>
            <w:noWrap w:val="0"/>
            <w:vAlign w:val="center"/>
          </w:tcPr>
          <w:p>
            <w:pPr>
              <w:jc w:val="center"/>
              <w:rPr>
                <w:rFonts w:hint="eastAsia"/>
                <w:kern w:val="0"/>
                <w:sz w:val="28"/>
                <w:szCs w:val="28"/>
              </w:rPr>
            </w:pPr>
            <w:r>
              <w:rPr>
                <w:rFonts w:hint="eastAsia"/>
                <w:kern w:val="0"/>
                <w:sz w:val="28"/>
                <w:szCs w:val="28"/>
              </w:rPr>
              <w:t>mm</w:t>
            </w:r>
          </w:p>
        </w:tc>
        <w:tc>
          <w:tcPr>
            <w:tcW w:w="2520" w:type="dxa"/>
            <w:noWrap w:val="0"/>
            <w:vAlign w:val="center"/>
          </w:tcPr>
          <w:p>
            <w:pPr>
              <w:jc w:val="center"/>
              <w:rPr>
                <w:rFonts w:hint="eastAsia"/>
                <w:sz w:val="28"/>
                <w:szCs w:val="28"/>
              </w:rPr>
            </w:pPr>
            <w:r>
              <w:rPr>
                <w:rFonts w:hint="eastAsia"/>
                <w:sz w:val="28"/>
                <w:szCs w:val="28"/>
              </w:rPr>
              <w:t>400*300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noWrap w:val="0"/>
            <w:vAlign w:val="center"/>
          </w:tcPr>
          <w:p>
            <w:pPr>
              <w:jc w:val="center"/>
              <w:rPr>
                <w:rFonts w:hint="eastAsia"/>
                <w:kern w:val="0"/>
                <w:sz w:val="28"/>
                <w:szCs w:val="28"/>
              </w:rPr>
            </w:pPr>
            <w:r>
              <w:rPr>
                <w:rFonts w:hint="eastAsia"/>
                <w:kern w:val="0"/>
                <w:sz w:val="28"/>
                <w:szCs w:val="28"/>
              </w:rPr>
              <w:t>2</w:t>
            </w:r>
          </w:p>
        </w:tc>
        <w:tc>
          <w:tcPr>
            <w:tcW w:w="3060" w:type="dxa"/>
            <w:noWrap w:val="0"/>
            <w:vAlign w:val="center"/>
          </w:tcPr>
          <w:p>
            <w:pPr>
              <w:jc w:val="center"/>
              <w:rPr>
                <w:rFonts w:hint="eastAsia"/>
                <w:kern w:val="0"/>
                <w:sz w:val="28"/>
                <w:szCs w:val="28"/>
              </w:rPr>
            </w:pPr>
            <w:r>
              <w:rPr>
                <w:rFonts w:hint="eastAsia"/>
                <w:kern w:val="0"/>
                <w:sz w:val="28"/>
                <w:szCs w:val="28"/>
              </w:rPr>
              <w:t>磁鼓表面磁场强度</w:t>
            </w:r>
          </w:p>
        </w:tc>
        <w:tc>
          <w:tcPr>
            <w:tcW w:w="1260" w:type="dxa"/>
            <w:noWrap w:val="0"/>
            <w:vAlign w:val="center"/>
          </w:tcPr>
          <w:p>
            <w:pPr>
              <w:jc w:val="center"/>
              <w:rPr>
                <w:rFonts w:hint="eastAsia"/>
                <w:kern w:val="0"/>
                <w:sz w:val="28"/>
                <w:szCs w:val="28"/>
              </w:rPr>
            </w:pPr>
            <w:r>
              <w:rPr>
                <w:kern w:val="0"/>
                <w:sz w:val="28"/>
                <w:szCs w:val="28"/>
              </w:rPr>
              <w:t>M</w:t>
            </w:r>
            <w:r>
              <w:rPr>
                <w:rFonts w:hint="eastAsia"/>
                <w:kern w:val="0"/>
                <w:sz w:val="28"/>
                <w:szCs w:val="28"/>
              </w:rPr>
              <w:t>T</w:t>
            </w:r>
          </w:p>
        </w:tc>
        <w:tc>
          <w:tcPr>
            <w:tcW w:w="2520" w:type="dxa"/>
            <w:noWrap w:val="0"/>
            <w:vAlign w:val="center"/>
          </w:tcPr>
          <w:p>
            <w:pPr>
              <w:jc w:val="center"/>
              <w:rPr>
                <w:rFonts w:hint="eastAsia"/>
                <w:sz w:val="28"/>
                <w:szCs w:val="28"/>
              </w:rPr>
            </w:pPr>
            <w:r>
              <w:rPr>
                <w:rFonts w:hint="eastAsia"/>
                <w:sz w:val="28"/>
                <w:szCs w:val="2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noWrap w:val="0"/>
            <w:vAlign w:val="center"/>
          </w:tcPr>
          <w:p>
            <w:pPr>
              <w:jc w:val="center"/>
              <w:rPr>
                <w:rFonts w:hint="eastAsia"/>
                <w:kern w:val="0"/>
                <w:sz w:val="28"/>
                <w:szCs w:val="28"/>
              </w:rPr>
            </w:pPr>
            <w:r>
              <w:rPr>
                <w:rFonts w:hint="eastAsia"/>
                <w:kern w:val="0"/>
                <w:sz w:val="28"/>
                <w:szCs w:val="28"/>
              </w:rPr>
              <w:t>3</w:t>
            </w:r>
          </w:p>
        </w:tc>
        <w:tc>
          <w:tcPr>
            <w:tcW w:w="3060" w:type="dxa"/>
            <w:noWrap w:val="0"/>
            <w:vAlign w:val="center"/>
          </w:tcPr>
          <w:p>
            <w:pPr>
              <w:jc w:val="center"/>
              <w:rPr>
                <w:rFonts w:hint="eastAsia"/>
                <w:kern w:val="0"/>
                <w:sz w:val="28"/>
                <w:szCs w:val="28"/>
              </w:rPr>
            </w:pPr>
            <w:r>
              <w:rPr>
                <w:rFonts w:hint="eastAsia"/>
                <w:kern w:val="0"/>
                <w:sz w:val="28"/>
                <w:szCs w:val="28"/>
              </w:rPr>
              <w:t>磁鼓转速</w:t>
            </w:r>
          </w:p>
        </w:tc>
        <w:tc>
          <w:tcPr>
            <w:tcW w:w="1260" w:type="dxa"/>
            <w:noWrap w:val="0"/>
            <w:vAlign w:val="center"/>
          </w:tcPr>
          <w:p>
            <w:pPr>
              <w:jc w:val="center"/>
              <w:rPr>
                <w:rFonts w:hint="eastAsia"/>
                <w:kern w:val="0"/>
                <w:sz w:val="28"/>
                <w:szCs w:val="28"/>
              </w:rPr>
            </w:pPr>
            <w:r>
              <w:rPr>
                <w:rFonts w:hint="eastAsia"/>
                <w:kern w:val="0"/>
                <w:sz w:val="28"/>
                <w:szCs w:val="28"/>
              </w:rPr>
              <w:t>r/min</w:t>
            </w:r>
          </w:p>
        </w:tc>
        <w:tc>
          <w:tcPr>
            <w:tcW w:w="2520" w:type="dxa"/>
            <w:noWrap w:val="0"/>
            <w:vAlign w:val="center"/>
          </w:tcPr>
          <w:p>
            <w:pPr>
              <w:jc w:val="center"/>
              <w:rPr>
                <w:rFonts w:hint="eastAsia"/>
                <w:sz w:val="28"/>
                <w:szCs w:val="28"/>
              </w:rPr>
            </w:pPr>
            <w:r>
              <w:rPr>
                <w:rFonts w:hint="eastAsia"/>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noWrap w:val="0"/>
            <w:vAlign w:val="center"/>
          </w:tcPr>
          <w:p>
            <w:pPr>
              <w:jc w:val="center"/>
              <w:rPr>
                <w:rFonts w:hint="eastAsia"/>
                <w:kern w:val="0"/>
                <w:sz w:val="28"/>
                <w:szCs w:val="28"/>
              </w:rPr>
            </w:pPr>
            <w:r>
              <w:rPr>
                <w:rFonts w:hint="eastAsia"/>
                <w:kern w:val="0"/>
                <w:sz w:val="28"/>
                <w:szCs w:val="28"/>
              </w:rPr>
              <w:t>4</w:t>
            </w:r>
          </w:p>
        </w:tc>
        <w:tc>
          <w:tcPr>
            <w:tcW w:w="3060" w:type="dxa"/>
            <w:noWrap w:val="0"/>
            <w:vAlign w:val="center"/>
          </w:tcPr>
          <w:p>
            <w:pPr>
              <w:jc w:val="center"/>
              <w:rPr>
                <w:rFonts w:hint="eastAsia"/>
                <w:kern w:val="0"/>
                <w:sz w:val="28"/>
                <w:szCs w:val="28"/>
              </w:rPr>
            </w:pPr>
            <w:r>
              <w:rPr>
                <w:rFonts w:hint="eastAsia"/>
                <w:kern w:val="0"/>
                <w:sz w:val="28"/>
                <w:szCs w:val="28"/>
              </w:rPr>
              <w:t>额定工作电流</w:t>
            </w:r>
          </w:p>
        </w:tc>
        <w:tc>
          <w:tcPr>
            <w:tcW w:w="1260" w:type="dxa"/>
            <w:noWrap w:val="0"/>
            <w:vAlign w:val="center"/>
          </w:tcPr>
          <w:p>
            <w:pPr>
              <w:jc w:val="center"/>
              <w:rPr>
                <w:rFonts w:hint="eastAsia"/>
                <w:kern w:val="0"/>
                <w:sz w:val="28"/>
                <w:szCs w:val="28"/>
              </w:rPr>
            </w:pPr>
            <w:r>
              <w:rPr>
                <w:rFonts w:hint="eastAsia"/>
                <w:kern w:val="0"/>
                <w:sz w:val="28"/>
                <w:szCs w:val="28"/>
              </w:rPr>
              <w:t>A</w:t>
            </w:r>
          </w:p>
        </w:tc>
        <w:tc>
          <w:tcPr>
            <w:tcW w:w="2520" w:type="dxa"/>
            <w:noWrap w:val="0"/>
            <w:vAlign w:val="center"/>
          </w:tcPr>
          <w:p>
            <w:pPr>
              <w:jc w:val="center"/>
              <w:rPr>
                <w:rFonts w:hint="eastAsia"/>
                <w:sz w:val="28"/>
                <w:szCs w:val="28"/>
              </w:rPr>
            </w:pPr>
            <w:r>
              <w:rPr>
                <w:rFonts w:hint="eastAsia"/>
                <w:sz w:val="28"/>
                <w:szCs w:val="2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noWrap w:val="0"/>
            <w:vAlign w:val="center"/>
          </w:tcPr>
          <w:p>
            <w:pPr>
              <w:jc w:val="center"/>
              <w:rPr>
                <w:rFonts w:hint="eastAsia"/>
                <w:kern w:val="0"/>
                <w:sz w:val="28"/>
                <w:szCs w:val="28"/>
              </w:rPr>
            </w:pPr>
            <w:r>
              <w:rPr>
                <w:rFonts w:hint="eastAsia"/>
                <w:kern w:val="0"/>
                <w:sz w:val="28"/>
                <w:szCs w:val="28"/>
              </w:rPr>
              <w:t>5</w:t>
            </w:r>
          </w:p>
        </w:tc>
        <w:tc>
          <w:tcPr>
            <w:tcW w:w="3060" w:type="dxa"/>
            <w:noWrap w:val="0"/>
            <w:vAlign w:val="center"/>
          </w:tcPr>
          <w:p>
            <w:pPr>
              <w:jc w:val="center"/>
              <w:rPr>
                <w:rFonts w:hint="eastAsia"/>
                <w:kern w:val="0"/>
                <w:sz w:val="28"/>
                <w:szCs w:val="28"/>
              </w:rPr>
            </w:pPr>
            <w:r>
              <w:rPr>
                <w:rFonts w:hint="eastAsia"/>
                <w:kern w:val="0"/>
                <w:sz w:val="28"/>
                <w:szCs w:val="28"/>
              </w:rPr>
              <w:t>磁极线圈温升</w:t>
            </w:r>
          </w:p>
        </w:tc>
        <w:tc>
          <w:tcPr>
            <w:tcW w:w="1260" w:type="dxa"/>
            <w:noWrap w:val="0"/>
            <w:vAlign w:val="center"/>
          </w:tcPr>
          <w:p>
            <w:pPr>
              <w:jc w:val="center"/>
              <w:rPr>
                <w:rFonts w:hint="eastAsia"/>
                <w:kern w:val="0"/>
                <w:sz w:val="28"/>
                <w:szCs w:val="28"/>
              </w:rPr>
            </w:pPr>
            <w:r>
              <w:rPr>
                <w:rFonts w:hint="eastAsia"/>
                <w:kern w:val="0"/>
                <w:sz w:val="28"/>
                <w:szCs w:val="28"/>
              </w:rPr>
              <w:t>℃</w:t>
            </w:r>
          </w:p>
        </w:tc>
        <w:tc>
          <w:tcPr>
            <w:tcW w:w="2520" w:type="dxa"/>
            <w:noWrap w:val="0"/>
            <w:vAlign w:val="center"/>
          </w:tcPr>
          <w:p>
            <w:pPr>
              <w:jc w:val="center"/>
              <w:rPr>
                <w:rFonts w:hint="eastAsia"/>
                <w:sz w:val="28"/>
                <w:szCs w:val="28"/>
              </w:rPr>
            </w:pPr>
            <w:r>
              <w:rPr>
                <w:rFonts w:hint="eastAsia"/>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noWrap w:val="0"/>
            <w:vAlign w:val="center"/>
          </w:tcPr>
          <w:p>
            <w:pPr>
              <w:jc w:val="center"/>
              <w:rPr>
                <w:rFonts w:hint="eastAsia"/>
                <w:kern w:val="0"/>
                <w:sz w:val="28"/>
                <w:szCs w:val="28"/>
              </w:rPr>
            </w:pPr>
            <w:r>
              <w:rPr>
                <w:rFonts w:hint="eastAsia"/>
                <w:kern w:val="0"/>
                <w:sz w:val="28"/>
                <w:szCs w:val="28"/>
              </w:rPr>
              <w:t>6</w:t>
            </w:r>
          </w:p>
        </w:tc>
        <w:tc>
          <w:tcPr>
            <w:tcW w:w="3060" w:type="dxa"/>
            <w:noWrap w:val="0"/>
            <w:vAlign w:val="center"/>
          </w:tcPr>
          <w:p>
            <w:pPr>
              <w:jc w:val="center"/>
              <w:rPr>
                <w:rFonts w:hint="eastAsia"/>
                <w:kern w:val="0"/>
                <w:sz w:val="28"/>
                <w:szCs w:val="28"/>
              </w:rPr>
            </w:pPr>
            <w:r>
              <w:rPr>
                <w:rFonts w:hint="eastAsia"/>
                <w:kern w:val="0"/>
                <w:sz w:val="28"/>
                <w:szCs w:val="28"/>
              </w:rPr>
              <w:t>最大给矿粒度</w:t>
            </w:r>
          </w:p>
        </w:tc>
        <w:tc>
          <w:tcPr>
            <w:tcW w:w="1260" w:type="dxa"/>
            <w:noWrap w:val="0"/>
            <w:vAlign w:val="center"/>
          </w:tcPr>
          <w:p>
            <w:pPr>
              <w:jc w:val="center"/>
              <w:rPr>
                <w:rFonts w:hint="eastAsia"/>
                <w:kern w:val="0"/>
                <w:sz w:val="28"/>
                <w:szCs w:val="28"/>
              </w:rPr>
            </w:pPr>
            <w:r>
              <w:rPr>
                <w:kern w:val="0"/>
                <w:sz w:val="28"/>
                <w:szCs w:val="28"/>
              </w:rPr>
              <w:t>M</w:t>
            </w:r>
            <w:r>
              <w:rPr>
                <w:rFonts w:hint="eastAsia"/>
                <w:kern w:val="0"/>
                <w:sz w:val="28"/>
                <w:szCs w:val="28"/>
              </w:rPr>
              <w:t>m</w:t>
            </w:r>
          </w:p>
        </w:tc>
        <w:tc>
          <w:tcPr>
            <w:tcW w:w="2520" w:type="dxa"/>
            <w:noWrap w:val="0"/>
            <w:vAlign w:val="center"/>
          </w:tcPr>
          <w:p>
            <w:pPr>
              <w:jc w:val="center"/>
              <w:rPr>
                <w:rFonts w:hint="eastAsia"/>
                <w:sz w:val="28"/>
                <w:szCs w:val="28"/>
              </w:rPr>
            </w:pPr>
            <w:r>
              <w:rPr>
                <w:rFonts w:hint="eastAsia"/>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noWrap w:val="0"/>
            <w:vAlign w:val="center"/>
          </w:tcPr>
          <w:p>
            <w:pPr>
              <w:jc w:val="center"/>
              <w:rPr>
                <w:rFonts w:hint="eastAsia"/>
                <w:kern w:val="0"/>
                <w:sz w:val="28"/>
                <w:szCs w:val="28"/>
              </w:rPr>
            </w:pPr>
            <w:r>
              <w:rPr>
                <w:rFonts w:hint="eastAsia"/>
                <w:kern w:val="0"/>
                <w:sz w:val="28"/>
                <w:szCs w:val="28"/>
              </w:rPr>
              <w:t>7</w:t>
            </w:r>
          </w:p>
        </w:tc>
        <w:tc>
          <w:tcPr>
            <w:tcW w:w="3060" w:type="dxa"/>
            <w:noWrap w:val="0"/>
            <w:vAlign w:val="center"/>
          </w:tcPr>
          <w:p>
            <w:pPr>
              <w:jc w:val="center"/>
              <w:rPr>
                <w:rFonts w:hint="eastAsia"/>
                <w:kern w:val="0"/>
                <w:sz w:val="28"/>
                <w:szCs w:val="28"/>
              </w:rPr>
            </w:pPr>
            <w:r>
              <w:rPr>
                <w:rFonts w:hint="eastAsia"/>
                <w:kern w:val="0"/>
                <w:sz w:val="28"/>
                <w:szCs w:val="28"/>
              </w:rPr>
              <w:t>电源电压</w:t>
            </w:r>
          </w:p>
        </w:tc>
        <w:tc>
          <w:tcPr>
            <w:tcW w:w="1260" w:type="dxa"/>
            <w:noWrap w:val="0"/>
            <w:vAlign w:val="center"/>
          </w:tcPr>
          <w:p>
            <w:pPr>
              <w:jc w:val="center"/>
              <w:rPr>
                <w:rFonts w:hint="eastAsia"/>
                <w:kern w:val="0"/>
                <w:sz w:val="28"/>
                <w:szCs w:val="28"/>
              </w:rPr>
            </w:pPr>
            <w:r>
              <w:rPr>
                <w:rFonts w:hint="eastAsia"/>
                <w:kern w:val="0"/>
                <w:sz w:val="28"/>
                <w:szCs w:val="28"/>
              </w:rPr>
              <w:t>V</w:t>
            </w:r>
          </w:p>
        </w:tc>
        <w:tc>
          <w:tcPr>
            <w:tcW w:w="2520" w:type="dxa"/>
            <w:noWrap w:val="0"/>
            <w:vAlign w:val="center"/>
          </w:tcPr>
          <w:p>
            <w:pPr>
              <w:jc w:val="center"/>
              <w:rPr>
                <w:rFonts w:hint="eastAsia"/>
                <w:sz w:val="28"/>
                <w:szCs w:val="28"/>
              </w:rPr>
            </w:pPr>
            <w:r>
              <w:rPr>
                <w:rFonts w:hint="eastAsia"/>
                <w:sz w:val="28"/>
                <w:szCs w:val="28"/>
              </w:rPr>
              <w:t>380三相四线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noWrap w:val="0"/>
            <w:vAlign w:val="center"/>
          </w:tcPr>
          <w:p>
            <w:pPr>
              <w:jc w:val="center"/>
              <w:rPr>
                <w:rFonts w:hint="eastAsia"/>
                <w:kern w:val="0"/>
                <w:sz w:val="28"/>
                <w:szCs w:val="28"/>
              </w:rPr>
            </w:pPr>
            <w:r>
              <w:rPr>
                <w:rFonts w:hint="eastAsia"/>
                <w:kern w:val="0"/>
                <w:sz w:val="28"/>
                <w:szCs w:val="28"/>
              </w:rPr>
              <w:t>8</w:t>
            </w:r>
          </w:p>
        </w:tc>
        <w:tc>
          <w:tcPr>
            <w:tcW w:w="3060" w:type="dxa"/>
            <w:noWrap w:val="0"/>
            <w:vAlign w:val="center"/>
          </w:tcPr>
          <w:p>
            <w:pPr>
              <w:jc w:val="center"/>
              <w:rPr>
                <w:rFonts w:hint="eastAsia"/>
                <w:kern w:val="0"/>
                <w:sz w:val="28"/>
                <w:szCs w:val="28"/>
              </w:rPr>
            </w:pPr>
            <w:r>
              <w:rPr>
                <w:rFonts w:hint="eastAsia"/>
                <w:kern w:val="0"/>
                <w:sz w:val="28"/>
                <w:szCs w:val="28"/>
              </w:rPr>
              <w:t>频率</w:t>
            </w:r>
          </w:p>
        </w:tc>
        <w:tc>
          <w:tcPr>
            <w:tcW w:w="1260" w:type="dxa"/>
            <w:noWrap w:val="0"/>
            <w:vAlign w:val="center"/>
          </w:tcPr>
          <w:p>
            <w:pPr>
              <w:jc w:val="center"/>
              <w:rPr>
                <w:rFonts w:hint="eastAsia"/>
                <w:kern w:val="0"/>
                <w:sz w:val="28"/>
                <w:szCs w:val="28"/>
              </w:rPr>
            </w:pPr>
            <w:r>
              <w:rPr>
                <w:rFonts w:hint="eastAsia"/>
                <w:kern w:val="0"/>
                <w:sz w:val="28"/>
                <w:szCs w:val="28"/>
              </w:rPr>
              <w:t>Hz</w:t>
            </w:r>
          </w:p>
        </w:tc>
        <w:tc>
          <w:tcPr>
            <w:tcW w:w="2520" w:type="dxa"/>
            <w:noWrap w:val="0"/>
            <w:vAlign w:val="center"/>
          </w:tcPr>
          <w:p>
            <w:pPr>
              <w:jc w:val="center"/>
              <w:rPr>
                <w:rFonts w:hint="eastAsia"/>
                <w:sz w:val="28"/>
                <w:szCs w:val="28"/>
              </w:rPr>
            </w:pPr>
            <w:r>
              <w:rPr>
                <w:rFonts w:hint="eastAsia"/>
                <w:sz w:val="28"/>
                <w:szCs w:val="2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noWrap w:val="0"/>
            <w:vAlign w:val="center"/>
          </w:tcPr>
          <w:p>
            <w:pPr>
              <w:jc w:val="center"/>
              <w:rPr>
                <w:rFonts w:hint="eastAsia"/>
                <w:kern w:val="0"/>
                <w:sz w:val="28"/>
                <w:szCs w:val="28"/>
              </w:rPr>
            </w:pPr>
            <w:r>
              <w:rPr>
                <w:rFonts w:hint="eastAsia"/>
                <w:kern w:val="0"/>
                <w:sz w:val="28"/>
                <w:szCs w:val="28"/>
              </w:rPr>
              <w:t>9</w:t>
            </w:r>
          </w:p>
        </w:tc>
        <w:tc>
          <w:tcPr>
            <w:tcW w:w="3060" w:type="dxa"/>
            <w:noWrap w:val="0"/>
            <w:vAlign w:val="center"/>
          </w:tcPr>
          <w:p>
            <w:pPr>
              <w:jc w:val="center"/>
              <w:rPr>
                <w:rFonts w:hint="eastAsia"/>
                <w:kern w:val="0"/>
                <w:sz w:val="28"/>
                <w:szCs w:val="28"/>
              </w:rPr>
            </w:pPr>
            <w:r>
              <w:rPr>
                <w:rFonts w:hint="eastAsia"/>
                <w:kern w:val="0"/>
                <w:sz w:val="28"/>
                <w:szCs w:val="28"/>
              </w:rPr>
              <w:t>重量</w:t>
            </w:r>
          </w:p>
        </w:tc>
        <w:tc>
          <w:tcPr>
            <w:tcW w:w="1260" w:type="dxa"/>
            <w:noWrap w:val="0"/>
            <w:vAlign w:val="center"/>
          </w:tcPr>
          <w:p>
            <w:pPr>
              <w:jc w:val="center"/>
              <w:rPr>
                <w:rFonts w:hint="eastAsia"/>
                <w:kern w:val="0"/>
                <w:sz w:val="28"/>
                <w:szCs w:val="28"/>
              </w:rPr>
            </w:pPr>
            <w:r>
              <w:rPr>
                <w:kern w:val="0"/>
                <w:sz w:val="28"/>
                <w:szCs w:val="28"/>
              </w:rPr>
              <w:t>K</w:t>
            </w:r>
            <w:r>
              <w:rPr>
                <w:rFonts w:hint="eastAsia"/>
                <w:kern w:val="0"/>
                <w:sz w:val="28"/>
                <w:szCs w:val="28"/>
              </w:rPr>
              <w:t>g</w:t>
            </w:r>
          </w:p>
        </w:tc>
        <w:tc>
          <w:tcPr>
            <w:tcW w:w="2520" w:type="dxa"/>
            <w:noWrap w:val="0"/>
            <w:vAlign w:val="center"/>
          </w:tcPr>
          <w:p>
            <w:pPr>
              <w:jc w:val="center"/>
              <w:rPr>
                <w:rFonts w:hint="eastAsia"/>
                <w:sz w:val="28"/>
                <w:szCs w:val="28"/>
              </w:rPr>
            </w:pPr>
            <w:r>
              <w:rPr>
                <w:rFonts w:hint="eastAsia"/>
                <w:sz w:val="28"/>
                <w:szCs w:val="28"/>
              </w:rPr>
              <w:t>约300</w:t>
            </w:r>
          </w:p>
        </w:tc>
      </w:tr>
    </w:tbl>
    <w:p>
      <w:pPr>
        <w:rPr>
          <w:rFonts w:hint="eastAsia"/>
          <w:b/>
          <w:sz w:val="28"/>
          <w:szCs w:val="28"/>
        </w:rPr>
      </w:pPr>
      <w:r>
        <w:rPr>
          <w:rFonts w:hint="eastAsia"/>
          <w:b/>
          <w:sz w:val="28"/>
          <w:szCs w:val="28"/>
        </w:rPr>
        <w:t>三、结构简介及特点</w:t>
      </w:r>
      <w:bookmarkStart w:id="0" w:name="_GoBack"/>
      <w:bookmarkEnd w:id="0"/>
    </w:p>
    <w:p>
      <w:pPr>
        <w:spacing w:line="360" w:lineRule="auto"/>
        <w:ind w:firstLine="544" w:firstLineChars="200"/>
        <w:rPr>
          <w:rFonts w:hint="eastAsia"/>
          <w:spacing w:val="16"/>
          <w:sz w:val="24"/>
        </w:rPr>
      </w:pPr>
      <w:r>
        <w:rPr>
          <w:rFonts w:hint="eastAsia"/>
          <w:spacing w:val="16"/>
          <w:sz w:val="24"/>
        </w:rPr>
        <w:t>XCRS型鼓形湿式弱磁选机是由磁选机主体及鼓形电源两部分所组成。磁选机主体主要包括：机架、磁鼓、矿槽、喷水管、传动装置、给矿箱。</w:t>
      </w:r>
    </w:p>
    <w:p>
      <w:pPr>
        <w:spacing w:line="360" w:lineRule="auto"/>
        <w:ind w:firstLine="544" w:firstLineChars="200"/>
        <w:rPr>
          <w:rFonts w:hint="eastAsia"/>
          <w:spacing w:val="16"/>
          <w:sz w:val="24"/>
        </w:rPr>
      </w:pPr>
      <w:r>
        <w:rPr>
          <w:rFonts w:hint="eastAsia"/>
          <w:spacing w:val="16"/>
          <w:sz w:val="24"/>
        </w:rPr>
        <w:t>鼓形电源为一单独的硅桥式整流电源、其输出是通过调压器手柄进行调整的。</w:t>
      </w:r>
    </w:p>
    <w:p>
      <w:pPr>
        <w:spacing w:line="360" w:lineRule="auto"/>
        <w:ind w:firstLine="544" w:firstLineChars="200"/>
        <w:rPr>
          <w:rFonts w:hint="eastAsia"/>
          <w:spacing w:val="16"/>
          <w:sz w:val="24"/>
        </w:rPr>
      </w:pPr>
      <w:r>
        <w:rPr>
          <w:rFonts w:hint="eastAsia"/>
          <w:spacing w:val="16"/>
          <w:sz w:val="24"/>
        </w:rPr>
        <w:t>1、机架：由角钢焊制，为整个机器的支承部分。</w:t>
      </w:r>
    </w:p>
    <w:p>
      <w:pPr>
        <w:spacing w:line="360" w:lineRule="auto"/>
        <w:ind w:firstLine="544" w:firstLineChars="200"/>
        <w:rPr>
          <w:rFonts w:hint="eastAsia"/>
          <w:spacing w:val="16"/>
          <w:sz w:val="24"/>
        </w:rPr>
      </w:pPr>
      <w:r>
        <w:rPr>
          <w:rFonts w:hint="eastAsia"/>
          <w:spacing w:val="16"/>
          <w:sz w:val="24"/>
        </w:rPr>
        <w:t>2、磁鼓：内装有四个激磁线圈及磁铁芯，并在其排矿侧装有一个没有激磁线圈的附加磁极，以利于卸矿，这五个在磁极形成扇形固定在</w:t>
      </w:r>
    </w:p>
    <w:p>
      <w:pPr>
        <w:spacing w:line="360" w:lineRule="auto"/>
        <w:ind w:firstLine="544" w:firstLineChars="200"/>
        <w:rPr>
          <w:rFonts w:hint="eastAsia"/>
          <w:spacing w:val="16"/>
          <w:sz w:val="24"/>
        </w:rPr>
      </w:pPr>
    </w:p>
    <w:p>
      <w:pPr>
        <w:spacing w:line="360" w:lineRule="auto"/>
        <w:rPr>
          <w:rFonts w:hint="eastAsia"/>
          <w:spacing w:val="16"/>
          <w:sz w:val="24"/>
        </w:rPr>
      </w:pPr>
      <w:r>
        <w:rPr>
          <w:rFonts w:hint="eastAsia"/>
          <w:spacing w:val="16"/>
          <w:sz w:val="24"/>
        </w:rPr>
        <w:t>心轴上，心轴通过支轴承瓦固定在机架上，圆筒系用非磁性材料铝及不</w:t>
      </w:r>
    </w:p>
    <w:p>
      <w:pPr>
        <w:spacing w:line="360" w:lineRule="auto"/>
        <w:rPr>
          <w:rFonts w:hint="eastAsia"/>
          <w:spacing w:val="16"/>
          <w:sz w:val="24"/>
        </w:rPr>
      </w:pPr>
      <w:r>
        <w:rPr>
          <w:rFonts w:hint="eastAsia"/>
          <w:spacing w:val="16"/>
          <w:sz w:val="24"/>
        </w:rPr>
        <w:t>锈钢制成，扇形线圈的连接以造成在每磁极掌上磁场极性的交变、矿粒每通过一个磁极即翻转达180度，在磁搅拌的作用下，可以改善磁性产品的质量。在心轴的一端，为方形的外伸结构，可以用手板，使磁鼓内磁极绕轴向旋转，以适应不同矿种的选别需要。</w:t>
      </w:r>
    </w:p>
    <w:p>
      <w:pPr>
        <w:spacing w:line="360" w:lineRule="auto"/>
        <w:ind w:firstLine="544" w:firstLineChars="200"/>
        <w:rPr>
          <w:rFonts w:hint="eastAsia"/>
          <w:spacing w:val="16"/>
          <w:sz w:val="24"/>
        </w:rPr>
      </w:pPr>
      <w:r>
        <w:rPr>
          <w:rFonts w:hint="eastAsia"/>
          <w:spacing w:val="16"/>
          <w:sz w:val="24"/>
        </w:rPr>
        <w:t>3、传动装置：安装在机架的底部一侧，为了降低整机的重心，传动部分由三项交流电动机及蜗轮、蜗杆变速箱所组成，变速箱的输出通过链条传动至磁鼓，带动磁鼓旋转（磁极是不随之转动的），磁鼓的转速为恒转速25转/分，磁鼓旋转力方向与给矿方向一致。</w:t>
      </w:r>
    </w:p>
    <w:p>
      <w:pPr>
        <w:spacing w:line="360" w:lineRule="auto"/>
        <w:ind w:firstLine="544" w:firstLineChars="200"/>
        <w:rPr>
          <w:rFonts w:hint="eastAsia"/>
          <w:spacing w:val="16"/>
          <w:sz w:val="24"/>
        </w:rPr>
      </w:pPr>
      <w:r>
        <w:rPr>
          <w:rFonts w:hint="eastAsia"/>
          <w:spacing w:val="16"/>
          <w:sz w:val="24"/>
        </w:rPr>
        <w:t>4、矿槽：</w:t>
      </w:r>
    </w:p>
    <w:p>
      <w:pPr>
        <w:spacing w:line="360" w:lineRule="auto"/>
        <w:ind w:firstLine="544" w:firstLineChars="200"/>
        <w:rPr>
          <w:rFonts w:hint="eastAsia"/>
          <w:spacing w:val="16"/>
          <w:sz w:val="24"/>
        </w:rPr>
      </w:pPr>
      <w:r>
        <w:rPr>
          <w:rFonts w:hint="eastAsia"/>
          <w:spacing w:val="16"/>
          <w:sz w:val="24"/>
        </w:rPr>
        <w:t>由铝及不锈钢板焊制而成，用螺丝固定在机架上；在矿槽的给矿侧设有保持液面高度的溢留口，在排精矿槽下部设有接精矿嘴以便接矿。</w:t>
      </w:r>
    </w:p>
    <w:p>
      <w:pPr>
        <w:spacing w:line="360" w:lineRule="auto"/>
        <w:ind w:firstLine="544" w:firstLineChars="200"/>
        <w:rPr>
          <w:rFonts w:hint="eastAsia"/>
          <w:spacing w:val="16"/>
          <w:sz w:val="24"/>
        </w:rPr>
      </w:pPr>
      <w:r>
        <w:rPr>
          <w:rFonts w:hint="eastAsia"/>
          <w:spacing w:val="16"/>
          <w:sz w:val="24"/>
        </w:rPr>
        <w:t>5、喷水管：</w:t>
      </w:r>
    </w:p>
    <w:p>
      <w:pPr>
        <w:spacing w:line="360" w:lineRule="auto"/>
        <w:ind w:firstLine="544" w:firstLineChars="200"/>
        <w:rPr>
          <w:rFonts w:hint="eastAsia"/>
          <w:spacing w:val="16"/>
          <w:sz w:val="24"/>
        </w:rPr>
      </w:pPr>
      <w:r>
        <w:rPr>
          <w:rFonts w:hint="eastAsia"/>
          <w:spacing w:val="16"/>
          <w:sz w:val="24"/>
        </w:rPr>
        <w:t>安装在机架上的一根带孔铜管，与室内水源相接，用于磁鼓上精矿的冲洗；喷水角度可以通过旋转喷水管进行调节。</w:t>
      </w:r>
    </w:p>
    <w:p>
      <w:pPr>
        <w:spacing w:line="360" w:lineRule="auto"/>
        <w:ind w:firstLine="544" w:firstLineChars="200"/>
        <w:rPr>
          <w:rFonts w:hint="eastAsia"/>
          <w:spacing w:val="16"/>
          <w:sz w:val="24"/>
        </w:rPr>
      </w:pPr>
      <w:r>
        <w:rPr>
          <w:rFonts w:hint="eastAsia"/>
          <w:spacing w:val="16"/>
          <w:sz w:val="24"/>
        </w:rPr>
        <w:t>6、给矿箱：</w:t>
      </w:r>
    </w:p>
    <w:p>
      <w:pPr>
        <w:spacing w:line="360" w:lineRule="auto"/>
        <w:ind w:firstLine="544" w:firstLineChars="200"/>
        <w:rPr>
          <w:rFonts w:hint="eastAsia"/>
          <w:spacing w:val="16"/>
          <w:sz w:val="24"/>
        </w:rPr>
      </w:pPr>
      <w:r>
        <w:rPr>
          <w:rFonts w:hint="eastAsia"/>
          <w:spacing w:val="16"/>
          <w:sz w:val="24"/>
        </w:rPr>
        <w:t>箱体由不锈钢板焊接而成，其作用是保证给矿时的均匀性。</w:t>
      </w:r>
    </w:p>
    <w:p>
      <w:pPr>
        <w:rPr>
          <w:rFonts w:hint="eastAsia"/>
          <w:b/>
          <w:sz w:val="28"/>
          <w:szCs w:val="28"/>
        </w:rPr>
      </w:pPr>
      <w:r>
        <w:rPr>
          <w:rFonts w:hint="eastAsia"/>
          <w:b/>
          <w:sz w:val="28"/>
          <w:szCs w:val="28"/>
        </w:rPr>
        <w:t>四、安装、使用、维护以及注意事项</w:t>
      </w:r>
    </w:p>
    <w:p>
      <w:pPr>
        <w:spacing w:line="360" w:lineRule="auto"/>
        <w:ind w:firstLine="544" w:firstLineChars="200"/>
        <w:rPr>
          <w:rFonts w:hint="eastAsia"/>
          <w:spacing w:val="16"/>
          <w:sz w:val="24"/>
        </w:rPr>
      </w:pPr>
      <w:r>
        <w:rPr>
          <w:rFonts w:hint="eastAsia"/>
          <w:spacing w:val="16"/>
          <w:sz w:val="24"/>
        </w:rPr>
        <w:t>（一）安装</w:t>
      </w:r>
    </w:p>
    <w:p>
      <w:pPr>
        <w:spacing w:line="360" w:lineRule="auto"/>
        <w:ind w:firstLine="544" w:firstLineChars="200"/>
        <w:rPr>
          <w:rFonts w:hint="eastAsia"/>
          <w:spacing w:val="16"/>
          <w:sz w:val="24"/>
        </w:rPr>
      </w:pPr>
      <w:r>
        <w:rPr>
          <w:rFonts w:hint="eastAsia"/>
          <w:spacing w:val="16"/>
          <w:sz w:val="24"/>
        </w:rPr>
        <w:t>本机开箱后，可放在一般车间或实验室平地上，先清理包装油脂，检查运输途中紧固件及电器元件焊接处有无松动脱落，在考虑到与其它配套设备的检查和维修言方便，同时也要考虑电源、自来水及废水的排出。在接通三相四线制电源后，试开车，使磁筒沿红色箭头所示方向转动，观察各部分正常后即可使用。如发现磁筒转达向相反，则可将传动电机三根接线任意调换其中两根即可。</w:t>
      </w:r>
    </w:p>
    <w:p>
      <w:pPr>
        <w:spacing w:line="360" w:lineRule="auto"/>
        <w:ind w:firstLine="544" w:firstLineChars="200"/>
        <w:rPr>
          <w:rFonts w:hint="eastAsia"/>
          <w:spacing w:val="16"/>
          <w:sz w:val="24"/>
        </w:rPr>
      </w:pPr>
      <w:r>
        <w:rPr>
          <w:rFonts w:hint="eastAsia"/>
          <w:spacing w:val="16"/>
          <w:sz w:val="24"/>
        </w:rPr>
        <w:t>（二）使用</w:t>
      </w:r>
    </w:p>
    <w:p>
      <w:pPr>
        <w:spacing w:line="360" w:lineRule="auto"/>
        <w:ind w:firstLine="544" w:firstLineChars="200"/>
        <w:rPr>
          <w:rFonts w:hint="eastAsia"/>
          <w:spacing w:val="16"/>
          <w:sz w:val="24"/>
        </w:rPr>
      </w:pPr>
      <w:r>
        <w:rPr>
          <w:rFonts w:hint="eastAsia"/>
          <w:spacing w:val="16"/>
          <w:sz w:val="24"/>
        </w:rPr>
        <w:t>1、接通电源，打开电源开关，此时有激磁电流输出，电源指示灯亮。</w:t>
      </w:r>
    </w:p>
    <w:p>
      <w:pPr>
        <w:spacing w:line="360" w:lineRule="auto"/>
        <w:ind w:firstLine="544" w:firstLineChars="200"/>
        <w:rPr>
          <w:rFonts w:hint="eastAsia"/>
          <w:spacing w:val="16"/>
          <w:sz w:val="24"/>
        </w:rPr>
      </w:pPr>
      <w:r>
        <w:rPr>
          <w:rFonts w:hint="eastAsia"/>
          <w:spacing w:val="16"/>
          <w:sz w:val="24"/>
        </w:rPr>
        <w:t>2、打开运行开关，磁鼓按正常方向旋转。</w:t>
      </w:r>
    </w:p>
    <w:p>
      <w:pPr>
        <w:spacing w:line="360" w:lineRule="auto"/>
        <w:ind w:firstLine="544" w:firstLineChars="200"/>
        <w:rPr>
          <w:rFonts w:hint="eastAsia"/>
          <w:spacing w:val="16"/>
          <w:sz w:val="24"/>
        </w:rPr>
      </w:pPr>
      <w:r>
        <w:rPr>
          <w:rFonts w:hint="eastAsia"/>
          <w:spacing w:val="16"/>
          <w:sz w:val="24"/>
        </w:rPr>
        <w:t>3、旋转调整磁极的位置，使扇形磁极置所需位置，调整调压器手柄，使输出直流电流在所需值。（极限使用值为3.5A）</w:t>
      </w:r>
    </w:p>
    <w:p>
      <w:pPr>
        <w:spacing w:line="360" w:lineRule="auto"/>
        <w:ind w:firstLine="544" w:firstLineChars="200"/>
        <w:rPr>
          <w:rFonts w:hint="eastAsia"/>
          <w:spacing w:val="16"/>
          <w:sz w:val="24"/>
        </w:rPr>
      </w:pPr>
      <w:r>
        <w:rPr>
          <w:rFonts w:hint="eastAsia"/>
          <w:spacing w:val="16"/>
          <w:sz w:val="24"/>
        </w:rPr>
        <w:t>4、给矿并同时开启喷水管。(水压≮0.1Mpa)。</w:t>
      </w:r>
    </w:p>
    <w:p>
      <w:pPr>
        <w:spacing w:line="360" w:lineRule="auto"/>
        <w:ind w:firstLine="544" w:firstLineChars="200"/>
        <w:rPr>
          <w:rFonts w:hint="eastAsia"/>
          <w:spacing w:val="16"/>
          <w:sz w:val="24"/>
        </w:rPr>
      </w:pPr>
      <w:r>
        <w:rPr>
          <w:rFonts w:hint="eastAsia"/>
          <w:spacing w:val="16"/>
          <w:sz w:val="24"/>
        </w:rPr>
        <w:t>5、给矿完毕后，将运转旋钮开关置“断”位置，使转筒停止旋转，关闭反冲水管及喷水管，然后排接尾矿。</w:t>
      </w:r>
    </w:p>
    <w:p>
      <w:pPr>
        <w:spacing w:line="360" w:lineRule="auto"/>
        <w:ind w:firstLine="544" w:firstLineChars="200"/>
        <w:rPr>
          <w:rFonts w:hint="eastAsia"/>
          <w:spacing w:val="16"/>
          <w:sz w:val="24"/>
        </w:rPr>
      </w:pPr>
      <w:r>
        <w:rPr>
          <w:rFonts w:hint="eastAsia"/>
          <w:spacing w:val="16"/>
          <w:sz w:val="24"/>
        </w:rPr>
        <w:t>6、排接精矿。</w:t>
      </w:r>
    </w:p>
    <w:p>
      <w:pPr>
        <w:spacing w:line="360" w:lineRule="auto"/>
        <w:ind w:firstLine="544" w:firstLineChars="200"/>
        <w:rPr>
          <w:rFonts w:hint="eastAsia"/>
          <w:spacing w:val="16"/>
          <w:sz w:val="24"/>
        </w:rPr>
      </w:pPr>
      <w:r>
        <w:rPr>
          <w:rFonts w:hint="eastAsia"/>
          <w:spacing w:val="16"/>
          <w:sz w:val="24"/>
        </w:rPr>
        <w:t>7、切断激磁电源，断磁。</w:t>
      </w:r>
    </w:p>
    <w:p>
      <w:pPr>
        <w:spacing w:line="360" w:lineRule="auto"/>
        <w:ind w:firstLine="544" w:firstLineChars="200"/>
        <w:rPr>
          <w:rFonts w:hint="eastAsia"/>
          <w:spacing w:val="16"/>
          <w:sz w:val="24"/>
        </w:rPr>
      </w:pPr>
      <w:r>
        <w:rPr>
          <w:rFonts w:hint="eastAsia"/>
          <w:spacing w:val="16"/>
          <w:sz w:val="24"/>
        </w:rPr>
        <w:t>8、再次冲洗尾矿槽，并把这二种产品合并为精矿产品。</w:t>
      </w:r>
    </w:p>
    <w:p>
      <w:pPr>
        <w:spacing w:line="360" w:lineRule="auto"/>
        <w:ind w:firstLine="544" w:firstLineChars="200"/>
        <w:rPr>
          <w:rFonts w:hint="eastAsia"/>
          <w:spacing w:val="16"/>
          <w:sz w:val="24"/>
        </w:rPr>
      </w:pPr>
      <w:r>
        <w:rPr>
          <w:rFonts w:hint="eastAsia"/>
          <w:spacing w:val="16"/>
          <w:sz w:val="24"/>
        </w:rPr>
        <w:t>9、操作完毕后，进行一次彻底冲洗；调压器手柄归零，切断电源开关，再将整机电源切断，一次试验即告结束。</w:t>
      </w:r>
    </w:p>
    <w:p>
      <w:pPr>
        <w:spacing w:line="360" w:lineRule="auto"/>
        <w:ind w:firstLine="544" w:firstLineChars="200"/>
        <w:rPr>
          <w:rFonts w:hint="eastAsia"/>
          <w:spacing w:val="16"/>
          <w:sz w:val="24"/>
        </w:rPr>
      </w:pPr>
      <w:r>
        <w:rPr>
          <w:rFonts w:hint="eastAsia"/>
          <w:spacing w:val="16"/>
          <w:sz w:val="24"/>
        </w:rPr>
        <w:t>（三）维护：</w:t>
      </w:r>
    </w:p>
    <w:p>
      <w:pPr>
        <w:spacing w:line="360" w:lineRule="auto"/>
        <w:ind w:firstLine="544" w:firstLineChars="200"/>
        <w:rPr>
          <w:rFonts w:hint="eastAsia"/>
          <w:spacing w:val="16"/>
          <w:sz w:val="24"/>
        </w:rPr>
      </w:pPr>
      <w:r>
        <w:rPr>
          <w:rFonts w:hint="eastAsia"/>
          <w:spacing w:val="16"/>
          <w:sz w:val="24"/>
        </w:rPr>
        <w:t>1、使用前对设备转动部分、电器元件等各处进行认真检查，确信设备处于正常状态，方可使用。</w:t>
      </w:r>
    </w:p>
    <w:p>
      <w:pPr>
        <w:spacing w:line="360" w:lineRule="auto"/>
        <w:ind w:firstLine="544" w:firstLineChars="200"/>
        <w:rPr>
          <w:rFonts w:hint="eastAsia"/>
          <w:spacing w:val="16"/>
          <w:sz w:val="24"/>
        </w:rPr>
      </w:pPr>
      <w:r>
        <w:rPr>
          <w:rFonts w:hint="eastAsia"/>
          <w:spacing w:val="16"/>
          <w:sz w:val="24"/>
        </w:rPr>
        <w:t>2、本设备连续工作时间不可超过3小时。</w:t>
      </w:r>
    </w:p>
    <w:p>
      <w:pPr>
        <w:spacing w:line="360" w:lineRule="auto"/>
        <w:ind w:firstLine="544" w:firstLineChars="200"/>
        <w:rPr>
          <w:rFonts w:hint="eastAsia"/>
          <w:spacing w:val="16"/>
          <w:sz w:val="24"/>
        </w:rPr>
      </w:pPr>
      <w:r>
        <w:rPr>
          <w:rFonts w:hint="eastAsia"/>
          <w:spacing w:val="16"/>
          <w:sz w:val="24"/>
        </w:rPr>
        <w:t>3、减速箱内润滑剂每半年更换一次。</w:t>
      </w:r>
    </w:p>
    <w:p>
      <w:pPr>
        <w:spacing w:line="360" w:lineRule="auto"/>
        <w:ind w:firstLine="544" w:firstLineChars="200"/>
        <w:rPr>
          <w:rFonts w:hint="eastAsia"/>
          <w:spacing w:val="16"/>
          <w:sz w:val="24"/>
        </w:rPr>
      </w:pPr>
      <w:r>
        <w:rPr>
          <w:rFonts w:hint="eastAsia"/>
          <w:spacing w:val="16"/>
          <w:sz w:val="24"/>
        </w:rPr>
        <w:t>4、设备使用权用过程中，若保险烧断，必须先检查有无短路才能更换；严禁使用不合格的保险管或用铜丝直接接通。</w:t>
      </w:r>
    </w:p>
    <w:p>
      <w:pPr>
        <w:spacing w:line="360" w:lineRule="auto"/>
        <w:ind w:firstLine="544" w:firstLineChars="200"/>
        <w:rPr>
          <w:rFonts w:hint="eastAsia"/>
          <w:spacing w:val="16"/>
          <w:sz w:val="24"/>
        </w:rPr>
      </w:pPr>
      <w:r>
        <w:rPr>
          <w:rFonts w:hint="eastAsia"/>
          <w:spacing w:val="16"/>
          <w:sz w:val="24"/>
        </w:rPr>
        <w:t>（四）注意：</w:t>
      </w:r>
    </w:p>
    <w:p>
      <w:pPr>
        <w:spacing w:line="360" w:lineRule="auto"/>
        <w:ind w:firstLine="544" w:firstLineChars="200"/>
        <w:rPr>
          <w:rFonts w:hint="eastAsia"/>
          <w:spacing w:val="16"/>
          <w:sz w:val="24"/>
        </w:rPr>
      </w:pPr>
      <w:r>
        <w:rPr>
          <w:rFonts w:hint="eastAsia"/>
          <w:spacing w:val="16"/>
          <w:sz w:val="24"/>
        </w:rPr>
        <w:t>设备高电流运转过程中严禁切断电源，必须将电流表调至零位后方可关闭电源，防止可能产生的电路及电动机损坏等危险情况。</w:t>
      </w:r>
    </w:p>
    <w:p>
      <w:pPr>
        <w:ind w:left="-8" w:leftChars="-4" w:firstLine="6" w:firstLineChars="3"/>
        <w:rPr>
          <w:rFonts w:hint="eastAsia"/>
        </w:rPr>
      </w:pPr>
      <w:r>
        <w:drawing>
          <wp:inline distT="0" distB="0" distL="114300" distR="114300">
            <wp:extent cx="6292215" cy="8996045"/>
            <wp:effectExtent l="0" t="0" r="13335" b="14605"/>
            <wp:docPr id="5" name="图片 5" descr="CCI20151014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CI20151014_0002"/>
                    <pic:cNvPicPr>
                      <a:picLocks noChangeAspect="1"/>
                    </pic:cNvPicPr>
                  </pic:nvPicPr>
                  <pic:blipFill>
                    <a:blip r:embed="rId6"/>
                    <a:stretch>
                      <a:fillRect/>
                    </a:stretch>
                  </pic:blipFill>
                  <pic:spPr>
                    <a:xfrm>
                      <a:off x="0" y="0"/>
                      <a:ext cx="6292215" cy="8996045"/>
                    </a:xfrm>
                    <a:prstGeom prst="rect">
                      <a:avLst/>
                    </a:prstGeom>
                    <a:noFill/>
                    <a:ln>
                      <a:noFill/>
                    </a:ln>
                  </pic:spPr>
                </pic:pic>
              </a:graphicData>
            </a:graphic>
          </wp:inline>
        </w:drawing>
      </w:r>
    </w:p>
    <w:p>
      <w:pPr>
        <w:ind w:left="-5" w:leftChars="-258" w:hanging="537" w:hangingChars="256"/>
        <w:jc w:val="center"/>
        <w:rPr>
          <w:rFonts w:hint="eastAsia"/>
        </w:rPr>
      </w:pPr>
      <w:r>
        <w:drawing>
          <wp:inline distT="0" distB="0" distL="114300" distR="114300">
            <wp:extent cx="6130925" cy="8734425"/>
            <wp:effectExtent l="0" t="0" r="3175" b="9525"/>
            <wp:docPr id="6" name="图片 6" descr="CCI2015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CI20151014"/>
                    <pic:cNvPicPr>
                      <a:picLocks noChangeAspect="1"/>
                    </pic:cNvPicPr>
                  </pic:nvPicPr>
                  <pic:blipFill>
                    <a:blip r:embed="rId7"/>
                    <a:stretch>
                      <a:fillRect/>
                    </a:stretch>
                  </pic:blipFill>
                  <pic:spPr>
                    <a:xfrm>
                      <a:off x="0" y="0"/>
                      <a:ext cx="6130925" cy="8734425"/>
                    </a:xfrm>
                    <a:prstGeom prst="rect">
                      <a:avLst/>
                    </a:prstGeom>
                    <a:noFill/>
                    <a:ln>
                      <a:noFill/>
                    </a:ln>
                  </pic:spPr>
                </pic:pic>
              </a:graphicData>
            </a:graphic>
          </wp:inline>
        </w:drawing>
      </w:r>
    </w:p>
    <w:p>
      <w:pPr>
        <w:ind w:leftChars="-257" w:hanging="539" w:hangingChars="257"/>
        <w:jc w:val="center"/>
        <w:rPr>
          <w:rFonts w:hint="eastAsia"/>
        </w:rPr>
      </w:pPr>
      <w:r>
        <w:drawing>
          <wp:inline distT="0" distB="0" distL="114300" distR="114300">
            <wp:extent cx="6270625" cy="8964930"/>
            <wp:effectExtent l="0" t="0" r="15875" b="7620"/>
            <wp:docPr id="7" name="图片 7" descr="CCI20151014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CI20151014_0001"/>
                    <pic:cNvPicPr>
                      <a:picLocks noChangeAspect="1"/>
                    </pic:cNvPicPr>
                  </pic:nvPicPr>
                  <pic:blipFill>
                    <a:blip r:embed="rId8"/>
                    <a:stretch>
                      <a:fillRect/>
                    </a:stretch>
                  </pic:blipFill>
                  <pic:spPr>
                    <a:xfrm>
                      <a:off x="0" y="0"/>
                      <a:ext cx="6270625" cy="8964930"/>
                    </a:xfrm>
                    <a:prstGeom prst="rect">
                      <a:avLst/>
                    </a:prstGeom>
                    <a:noFill/>
                    <a:ln>
                      <a:noFill/>
                    </a:ln>
                  </pic:spPr>
                </pic:pic>
              </a:graphicData>
            </a:graphic>
          </wp:inline>
        </w:drawing>
      </w:r>
    </w:p>
    <w:p>
      <w:pPr>
        <w:ind w:leftChars="-257" w:hanging="539" w:hangingChars="257"/>
        <w:jc w:val="center"/>
      </w:pPr>
      <w:r>
        <w:drawing>
          <wp:inline distT="0" distB="0" distL="114300" distR="114300">
            <wp:extent cx="4269105" cy="3137535"/>
            <wp:effectExtent l="0" t="0" r="17145" b="5715"/>
            <wp:docPr id="8" name="图片 8" descr="1606975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06975162(1)"/>
                    <pic:cNvPicPr>
                      <a:picLocks noChangeAspect="1"/>
                    </pic:cNvPicPr>
                  </pic:nvPicPr>
                  <pic:blipFill>
                    <a:blip r:embed="rId9"/>
                    <a:stretch>
                      <a:fillRect/>
                    </a:stretch>
                  </pic:blipFill>
                  <pic:spPr>
                    <a:xfrm>
                      <a:off x="0" y="0"/>
                      <a:ext cx="4269105" cy="3137535"/>
                    </a:xfrm>
                    <a:prstGeom prst="rect">
                      <a:avLst/>
                    </a:prstGeom>
                    <a:noFill/>
                    <a:ln>
                      <a:noFill/>
                    </a:ln>
                  </pic:spPr>
                </pic:pic>
              </a:graphicData>
            </a:graphic>
          </wp:inline>
        </w:drawing>
      </w: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jc w:val="center"/>
        <w:rPr>
          <w:rFonts w:hint="default" w:ascii="宋体" w:hAnsi="宋体" w:eastAsia="宋体"/>
          <w:sz w:val="72"/>
          <w:szCs w:val="72"/>
          <w:lang w:val="en-US" w:eastAsia="zh-CN"/>
        </w:rPr>
      </w:pPr>
      <w:r>
        <w:rPr>
          <w:rFonts w:hint="eastAsia" w:ascii="宋体" w:hAnsi="宋体"/>
          <w:sz w:val="72"/>
          <w:szCs w:val="72"/>
        </w:rPr>
        <w:t>XCRS74-400×300</w:t>
      </w:r>
      <w:r>
        <w:rPr>
          <w:rFonts w:hint="eastAsia" w:ascii="宋体" w:hAnsi="宋体"/>
          <w:sz w:val="72"/>
          <w:szCs w:val="72"/>
          <w:lang w:val="en-US" w:eastAsia="zh-CN"/>
        </w:rPr>
        <w:t xml:space="preserve"> model </w:t>
      </w:r>
    </w:p>
    <w:p>
      <w:pPr>
        <w:rPr>
          <w:rFonts w:hint="eastAsia"/>
          <w:b/>
          <w:sz w:val="28"/>
          <w:szCs w:val="28"/>
        </w:rPr>
      </w:pPr>
    </w:p>
    <w:p>
      <w:pPr>
        <w:rPr>
          <w:rFonts w:hint="eastAsia"/>
          <w:b/>
          <w:sz w:val="28"/>
          <w:szCs w:val="28"/>
        </w:rPr>
      </w:pPr>
    </w:p>
    <w:p>
      <w:pPr>
        <w:rPr>
          <w:rFonts w:hint="eastAsia"/>
          <w:b/>
          <w:sz w:val="28"/>
          <w:szCs w:val="28"/>
        </w:rPr>
      </w:pPr>
      <w:r>
        <w:rPr>
          <w:rFonts w:hint="eastAsia"/>
          <w:b/>
          <w:sz w:val="28"/>
          <w:szCs w:val="28"/>
        </w:rPr>
        <w:t>1. use</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XCRS drum-type wet weak magnetic separator is mainly used in metal beneficiation laboratory. It uses the wet method to conduct magnetic selection of fine grain strong magnetic ore, and the selection form is smooth flow. XCRS drum wet weak magnetic separator is small in size, light in weight, simple operation, convenient maintenance. The equipment is not suitable for ore-dressing test with corrosive liquid, and should be reliably grounded.</w:t>
      </w:r>
    </w:p>
    <w:p>
      <w:pPr>
        <w:rPr>
          <w:rFonts w:hint="eastAsia"/>
          <w:b/>
          <w:sz w:val="28"/>
          <w:szCs w:val="28"/>
        </w:rPr>
      </w:pPr>
      <w:r>
        <w:rPr>
          <w:rFonts w:hint="eastAsia"/>
          <w:b/>
          <w:sz w:val="28"/>
          <w:szCs w:val="28"/>
        </w:rPr>
        <w:t>2. technical specifications</w:t>
      </w:r>
    </w:p>
    <w:tbl>
      <w:tblPr>
        <w:tblStyle w:val="4"/>
        <w:tblW w:w="792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060"/>
        <w:gridCol w:w="126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trPr>
        <w:tc>
          <w:tcPr>
            <w:tcW w:w="1080" w:type="dxa"/>
            <w:vAlign w:val="center"/>
          </w:tcPr>
          <w:p>
            <w:pPr>
              <w:ind w:firstLine="280" w:firstLineChars="100"/>
              <w:jc w:val="center"/>
              <w:rPr>
                <w:rFonts w:hint="default" w:ascii="Calibri" w:hAnsi="Calibri" w:cs="Calibri"/>
                <w:kern w:val="0"/>
                <w:sz w:val="28"/>
                <w:szCs w:val="28"/>
              </w:rPr>
            </w:pPr>
            <w:r>
              <w:rPr>
                <w:rFonts w:hint="default" w:ascii="Calibri" w:hAnsi="Calibri" w:cs="Calibri"/>
                <w:kern w:val="0"/>
                <w:sz w:val="28"/>
                <w:szCs w:val="28"/>
              </w:rPr>
              <w:t>order number</w:t>
            </w:r>
          </w:p>
        </w:tc>
        <w:tc>
          <w:tcPr>
            <w:tcW w:w="30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name</w:t>
            </w:r>
          </w:p>
        </w:tc>
        <w:tc>
          <w:tcPr>
            <w:tcW w:w="1260" w:type="dxa"/>
            <w:vAlign w:val="center"/>
          </w:tcPr>
          <w:p>
            <w:pPr>
              <w:ind w:firstLine="140" w:firstLineChars="50"/>
              <w:jc w:val="center"/>
              <w:rPr>
                <w:rFonts w:hint="default" w:ascii="Calibri" w:hAnsi="Calibri" w:cs="Calibri"/>
                <w:kern w:val="0"/>
                <w:sz w:val="28"/>
                <w:szCs w:val="28"/>
              </w:rPr>
            </w:pPr>
            <w:r>
              <w:rPr>
                <w:rFonts w:hint="default" w:ascii="Calibri" w:hAnsi="Calibri" w:cs="Calibri"/>
                <w:kern w:val="0"/>
                <w:sz w:val="28"/>
                <w:szCs w:val="28"/>
              </w:rPr>
              <w:t>unit</w:t>
            </w:r>
          </w:p>
        </w:tc>
        <w:tc>
          <w:tcPr>
            <w:tcW w:w="2520" w:type="dxa"/>
            <w:vAlign w:val="center"/>
          </w:tcPr>
          <w:p>
            <w:pPr>
              <w:ind w:firstLine="560" w:firstLineChars="200"/>
              <w:jc w:val="center"/>
              <w:rPr>
                <w:rFonts w:hint="default" w:ascii="Calibri" w:hAnsi="Calibri" w:cs="Calibri"/>
                <w:kern w:val="0"/>
                <w:sz w:val="28"/>
                <w:szCs w:val="28"/>
              </w:rPr>
            </w:pPr>
            <w:r>
              <w:rPr>
                <w:rFonts w:hint="default" w:ascii="Calibri" w:hAnsi="Calibri" w:cs="Calibri"/>
                <w:kern w:val="0"/>
                <w:sz w:val="28"/>
                <w:szCs w:val="28"/>
              </w:rPr>
              <w:t>numeric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1</w:t>
            </w:r>
          </w:p>
        </w:tc>
        <w:tc>
          <w:tcPr>
            <w:tcW w:w="30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Magnetic drum effective size</w:t>
            </w:r>
          </w:p>
        </w:tc>
        <w:tc>
          <w:tcPr>
            <w:tcW w:w="12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mm</w:t>
            </w:r>
          </w:p>
        </w:tc>
        <w:tc>
          <w:tcPr>
            <w:tcW w:w="2520" w:type="dxa"/>
            <w:vAlign w:val="center"/>
          </w:tcPr>
          <w:p>
            <w:pPr>
              <w:jc w:val="center"/>
              <w:rPr>
                <w:rFonts w:hint="default" w:ascii="Calibri" w:hAnsi="Calibri" w:cs="Calibri"/>
                <w:sz w:val="28"/>
                <w:szCs w:val="28"/>
              </w:rPr>
            </w:pPr>
            <w:r>
              <w:rPr>
                <w:rFonts w:hint="default" w:ascii="Calibri" w:hAnsi="Calibri" w:cs="Calibri"/>
                <w:sz w:val="28"/>
                <w:szCs w:val="28"/>
              </w:rPr>
              <w:t>400*300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2</w:t>
            </w:r>
          </w:p>
        </w:tc>
        <w:tc>
          <w:tcPr>
            <w:tcW w:w="30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Magnetic field strength of the magnetic drum surface</w:t>
            </w:r>
          </w:p>
        </w:tc>
        <w:tc>
          <w:tcPr>
            <w:tcW w:w="12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M T</w:t>
            </w:r>
          </w:p>
        </w:tc>
        <w:tc>
          <w:tcPr>
            <w:tcW w:w="2520" w:type="dxa"/>
            <w:vAlign w:val="center"/>
          </w:tcPr>
          <w:p>
            <w:pPr>
              <w:jc w:val="center"/>
              <w:rPr>
                <w:rFonts w:hint="default" w:ascii="Calibri" w:hAnsi="Calibri" w:cs="Calibri"/>
                <w:sz w:val="28"/>
                <w:szCs w:val="28"/>
              </w:rPr>
            </w:pPr>
            <w:r>
              <w:rPr>
                <w:rFonts w:hint="default" w:ascii="Calibri" w:hAnsi="Calibri" w:cs="Calibri"/>
                <w:sz w:val="28"/>
                <w:szCs w:val="2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3</w:t>
            </w:r>
          </w:p>
        </w:tc>
        <w:tc>
          <w:tcPr>
            <w:tcW w:w="30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Magnetic drum speed</w:t>
            </w:r>
          </w:p>
        </w:tc>
        <w:tc>
          <w:tcPr>
            <w:tcW w:w="12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r/min</w:t>
            </w:r>
          </w:p>
        </w:tc>
        <w:tc>
          <w:tcPr>
            <w:tcW w:w="2520" w:type="dxa"/>
            <w:vAlign w:val="center"/>
          </w:tcPr>
          <w:p>
            <w:pPr>
              <w:jc w:val="center"/>
              <w:rPr>
                <w:rFonts w:hint="default" w:ascii="Calibri" w:hAnsi="Calibri" w:cs="Calibri"/>
                <w:sz w:val="28"/>
                <w:szCs w:val="28"/>
              </w:rPr>
            </w:pPr>
            <w:r>
              <w:rPr>
                <w:rFonts w:hint="default" w:ascii="Calibri" w:hAnsi="Calibri" w:cs="Calibri"/>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4</w:t>
            </w:r>
          </w:p>
        </w:tc>
        <w:tc>
          <w:tcPr>
            <w:tcW w:w="30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rated operational current</w:t>
            </w:r>
          </w:p>
        </w:tc>
        <w:tc>
          <w:tcPr>
            <w:tcW w:w="12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A</w:t>
            </w:r>
          </w:p>
        </w:tc>
        <w:tc>
          <w:tcPr>
            <w:tcW w:w="2520" w:type="dxa"/>
            <w:vAlign w:val="center"/>
          </w:tcPr>
          <w:p>
            <w:pPr>
              <w:jc w:val="center"/>
              <w:rPr>
                <w:rFonts w:hint="default" w:ascii="Calibri" w:hAnsi="Calibri" w:cs="Calibri"/>
                <w:sz w:val="28"/>
                <w:szCs w:val="28"/>
              </w:rPr>
            </w:pPr>
            <w:r>
              <w:rPr>
                <w:rFonts w:hint="default" w:ascii="Calibri" w:hAnsi="Calibri" w:cs="Calibri"/>
                <w:sz w:val="28"/>
                <w:szCs w:val="2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5</w:t>
            </w:r>
          </w:p>
        </w:tc>
        <w:tc>
          <w:tcPr>
            <w:tcW w:w="30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Magnetic electrode coil temperature rise</w:t>
            </w:r>
          </w:p>
        </w:tc>
        <w:tc>
          <w:tcPr>
            <w:tcW w:w="12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w:t>
            </w:r>
          </w:p>
        </w:tc>
        <w:tc>
          <w:tcPr>
            <w:tcW w:w="2520" w:type="dxa"/>
            <w:vAlign w:val="center"/>
          </w:tcPr>
          <w:p>
            <w:pPr>
              <w:jc w:val="center"/>
              <w:rPr>
                <w:rFonts w:hint="default" w:ascii="Calibri" w:hAnsi="Calibri" w:cs="Calibri"/>
                <w:sz w:val="28"/>
                <w:szCs w:val="28"/>
              </w:rPr>
            </w:pPr>
            <w:r>
              <w:rPr>
                <w:rFonts w:hint="default" w:ascii="Calibri" w:hAnsi="Calibri" w:cs="Calibri"/>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trPr>
        <w:tc>
          <w:tcPr>
            <w:tcW w:w="108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6</w:t>
            </w:r>
          </w:p>
        </w:tc>
        <w:tc>
          <w:tcPr>
            <w:tcW w:w="30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Maximum particle size</w:t>
            </w:r>
          </w:p>
        </w:tc>
        <w:tc>
          <w:tcPr>
            <w:tcW w:w="12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M m</w:t>
            </w:r>
          </w:p>
        </w:tc>
        <w:tc>
          <w:tcPr>
            <w:tcW w:w="2520" w:type="dxa"/>
            <w:vAlign w:val="center"/>
          </w:tcPr>
          <w:p>
            <w:pPr>
              <w:jc w:val="center"/>
              <w:rPr>
                <w:rFonts w:hint="default" w:ascii="Calibri" w:hAnsi="Calibri" w:cs="Calibri"/>
                <w:sz w:val="28"/>
                <w:szCs w:val="28"/>
              </w:rPr>
            </w:pPr>
            <w:r>
              <w:rPr>
                <w:rFonts w:hint="default" w:ascii="Calibri" w:hAnsi="Calibri" w:cs="Calibri"/>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trPr>
        <w:tc>
          <w:tcPr>
            <w:tcW w:w="108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7</w:t>
            </w:r>
          </w:p>
        </w:tc>
        <w:tc>
          <w:tcPr>
            <w:tcW w:w="30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supply voltage</w:t>
            </w:r>
          </w:p>
        </w:tc>
        <w:tc>
          <w:tcPr>
            <w:tcW w:w="12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V</w:t>
            </w:r>
          </w:p>
        </w:tc>
        <w:tc>
          <w:tcPr>
            <w:tcW w:w="2520" w:type="dxa"/>
            <w:vAlign w:val="center"/>
          </w:tcPr>
          <w:p>
            <w:pPr>
              <w:jc w:val="center"/>
              <w:rPr>
                <w:rFonts w:hint="default" w:ascii="Calibri" w:hAnsi="Calibri" w:cs="Calibri"/>
                <w:sz w:val="28"/>
                <w:szCs w:val="28"/>
              </w:rPr>
            </w:pPr>
            <w:r>
              <w:rPr>
                <w:rFonts w:hint="default" w:ascii="Calibri" w:hAnsi="Calibri" w:cs="Calibri"/>
                <w:sz w:val="28"/>
                <w:szCs w:val="28"/>
              </w:rPr>
              <w:t>380 Three-phase and four-wire lines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trPr>
        <w:tc>
          <w:tcPr>
            <w:tcW w:w="108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8</w:t>
            </w:r>
          </w:p>
        </w:tc>
        <w:tc>
          <w:tcPr>
            <w:tcW w:w="30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frequency</w:t>
            </w:r>
          </w:p>
        </w:tc>
        <w:tc>
          <w:tcPr>
            <w:tcW w:w="12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Hz</w:t>
            </w:r>
          </w:p>
        </w:tc>
        <w:tc>
          <w:tcPr>
            <w:tcW w:w="2520" w:type="dxa"/>
            <w:vAlign w:val="center"/>
          </w:tcPr>
          <w:p>
            <w:pPr>
              <w:jc w:val="center"/>
              <w:rPr>
                <w:rFonts w:hint="default" w:ascii="Calibri" w:hAnsi="Calibri" w:cs="Calibri"/>
                <w:sz w:val="28"/>
                <w:szCs w:val="28"/>
              </w:rPr>
            </w:pPr>
            <w:r>
              <w:rPr>
                <w:rFonts w:hint="default" w:ascii="Calibri" w:hAnsi="Calibri" w:cs="Calibri"/>
                <w:sz w:val="28"/>
                <w:szCs w:val="2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trPr>
        <w:tc>
          <w:tcPr>
            <w:tcW w:w="108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9</w:t>
            </w:r>
          </w:p>
        </w:tc>
        <w:tc>
          <w:tcPr>
            <w:tcW w:w="30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weight</w:t>
            </w:r>
          </w:p>
        </w:tc>
        <w:tc>
          <w:tcPr>
            <w:tcW w:w="1260" w:type="dxa"/>
            <w:vAlign w:val="center"/>
          </w:tcPr>
          <w:p>
            <w:pPr>
              <w:jc w:val="center"/>
              <w:rPr>
                <w:rFonts w:hint="default" w:ascii="Calibri" w:hAnsi="Calibri" w:cs="Calibri"/>
                <w:kern w:val="0"/>
                <w:sz w:val="28"/>
                <w:szCs w:val="28"/>
              </w:rPr>
            </w:pPr>
            <w:r>
              <w:rPr>
                <w:rFonts w:hint="default" w:ascii="Calibri" w:hAnsi="Calibri" w:cs="Calibri"/>
                <w:kern w:val="0"/>
                <w:sz w:val="28"/>
                <w:szCs w:val="28"/>
              </w:rPr>
              <w:t>K g</w:t>
            </w:r>
          </w:p>
        </w:tc>
        <w:tc>
          <w:tcPr>
            <w:tcW w:w="2520" w:type="dxa"/>
            <w:vAlign w:val="center"/>
          </w:tcPr>
          <w:p>
            <w:pPr>
              <w:jc w:val="center"/>
              <w:rPr>
                <w:rFonts w:hint="default" w:ascii="Calibri" w:hAnsi="Calibri" w:cs="Calibri"/>
                <w:sz w:val="28"/>
                <w:szCs w:val="28"/>
              </w:rPr>
            </w:pPr>
            <w:r>
              <w:rPr>
                <w:rFonts w:hint="default" w:ascii="Calibri" w:hAnsi="Calibri" w:cs="Calibri"/>
                <w:sz w:val="28"/>
                <w:szCs w:val="28"/>
              </w:rPr>
              <w:t>About 300</w:t>
            </w:r>
          </w:p>
        </w:tc>
      </w:tr>
    </w:tbl>
    <w:p>
      <w:pPr>
        <w:rPr>
          <w:rFonts w:hint="eastAsia"/>
          <w:b/>
          <w:sz w:val="28"/>
          <w:szCs w:val="28"/>
        </w:rPr>
      </w:pPr>
      <w:r>
        <w:rPr>
          <w:rFonts w:hint="eastAsia"/>
          <w:b/>
          <w:sz w:val="28"/>
          <w:szCs w:val="28"/>
        </w:rPr>
        <w:t>3. Structure of the brief introduction and features</w:t>
      </w:r>
    </w:p>
    <w:p>
      <w:pPr>
        <w:spacing w:line="360" w:lineRule="auto"/>
        <w:ind w:firstLine="544" w:firstLineChars="200"/>
        <w:rPr>
          <w:rFonts w:hint="default" w:ascii="Calibri" w:hAnsi="Calibri" w:cs="Calibri"/>
          <w:spacing w:val="16"/>
          <w:sz w:val="24"/>
        </w:rPr>
      </w:pPr>
      <w:r>
        <w:rPr>
          <w:rFonts w:hint="eastAsia"/>
          <w:spacing w:val="16"/>
          <w:sz w:val="24"/>
        </w:rPr>
        <w:t xml:space="preserve"> T</w:t>
      </w:r>
      <w:r>
        <w:rPr>
          <w:rFonts w:hint="default" w:ascii="Calibri" w:hAnsi="Calibri" w:cs="Calibri"/>
          <w:spacing w:val="16"/>
          <w:sz w:val="24"/>
        </w:rPr>
        <w:t>he XCRS drum type wet weak magnetic separator is composed of the main body of the magnetic separator and the drum type power supply. The main body of the magnetic concentrator mainly includes: frame, magnetic drum, ore tank, water spray pipe, transmission device and feed tank.</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 xml:space="preserve"> The drum power supply is a separate silicon bridge rectifier power supply, whose output is adjusted through the voltage regulator handle.</w:t>
      </w:r>
    </w:p>
    <w:p>
      <w:pPr>
        <w:spacing w:line="360" w:lineRule="auto"/>
        <w:ind w:firstLine="546" w:firstLineChars="200"/>
        <w:rPr>
          <w:rFonts w:hint="default" w:ascii="Calibri" w:hAnsi="Calibri" w:cs="Calibri"/>
          <w:spacing w:val="16"/>
          <w:sz w:val="24"/>
        </w:rPr>
      </w:pPr>
      <w:r>
        <w:rPr>
          <w:rFonts w:hint="default" w:ascii="Calibri" w:hAnsi="Calibri" w:cs="Calibri"/>
          <w:b/>
          <w:bCs/>
          <w:spacing w:val="16"/>
          <w:sz w:val="24"/>
        </w:rPr>
        <w:t>1, frame:</w:t>
      </w:r>
      <w:r>
        <w:rPr>
          <w:rFonts w:hint="default" w:ascii="Calibri" w:hAnsi="Calibri" w:cs="Calibri"/>
          <w:spacing w:val="16"/>
          <w:sz w:val="24"/>
        </w:rPr>
        <w:t xml:space="preserve"> made of Angle steel welding, for the supporting part of the whole machine.</w:t>
      </w:r>
    </w:p>
    <w:p>
      <w:pPr>
        <w:spacing w:line="360" w:lineRule="auto"/>
        <w:ind w:firstLine="546" w:firstLineChars="200"/>
        <w:rPr>
          <w:rFonts w:hint="default" w:ascii="Calibri" w:hAnsi="Calibri" w:cs="Calibri"/>
          <w:spacing w:val="16"/>
          <w:sz w:val="24"/>
        </w:rPr>
      </w:pPr>
      <w:r>
        <w:rPr>
          <w:rFonts w:hint="default" w:ascii="Calibri" w:hAnsi="Calibri" w:cs="Calibri"/>
          <w:b/>
          <w:bCs/>
          <w:spacing w:val="16"/>
          <w:sz w:val="24"/>
        </w:rPr>
        <w:t>2, magnetic drum: i</w:t>
      </w:r>
      <w:r>
        <w:rPr>
          <w:rFonts w:hint="default" w:ascii="Calibri" w:hAnsi="Calibri" w:cs="Calibri"/>
          <w:spacing w:val="16"/>
          <w:sz w:val="24"/>
        </w:rPr>
        <w:t>t is equipped with four exciting magnetic coils and magnet core, and an additional magnetic pole without exciting magnetic coil on the side of the discharge, to facilitate ore discharge, the five fan fixed in the magnetic pole</w:t>
      </w:r>
    </w:p>
    <w:p>
      <w:pPr>
        <w:spacing w:line="360" w:lineRule="auto"/>
        <w:ind w:firstLine="544" w:firstLineChars="200"/>
        <w:rPr>
          <w:rFonts w:hint="default" w:ascii="Calibri" w:hAnsi="Calibri" w:cs="Calibri"/>
          <w:spacing w:val="16"/>
          <w:sz w:val="24"/>
        </w:rPr>
      </w:pPr>
    </w:p>
    <w:p>
      <w:pPr>
        <w:spacing w:line="360" w:lineRule="auto"/>
        <w:rPr>
          <w:rFonts w:hint="default" w:ascii="Calibri" w:hAnsi="Calibri" w:cs="Calibri"/>
          <w:spacing w:val="16"/>
          <w:sz w:val="24"/>
        </w:rPr>
      </w:pPr>
      <w:r>
        <w:rPr>
          <w:rFonts w:hint="default" w:ascii="Calibri" w:hAnsi="Calibri" w:cs="Calibri"/>
          <w:spacing w:val="16"/>
          <w:sz w:val="24"/>
        </w:rPr>
        <w:t xml:space="preserve"> On the spindle, the spindle is fixed on the frame through the support bearing tile, and the cylinder is made of non-magnetic material aluminum and no</w:t>
      </w:r>
    </w:p>
    <w:p>
      <w:pPr>
        <w:spacing w:line="360" w:lineRule="auto"/>
        <w:rPr>
          <w:rFonts w:hint="default" w:ascii="Calibri" w:hAnsi="Calibri" w:cs="Calibri"/>
          <w:spacing w:val="16"/>
          <w:sz w:val="24"/>
        </w:rPr>
      </w:pPr>
      <w:r>
        <w:rPr>
          <w:rFonts w:hint="default" w:ascii="Calibri" w:hAnsi="Calibri" w:cs="Calibri"/>
          <w:spacing w:val="16"/>
          <w:sz w:val="24"/>
        </w:rPr>
        <w:t xml:space="preserve"> Made of rust steel, fan coil connection to cause the alternating polarity of the magnetic field in each magnetic pole, the ore is flipped up to 180 degrees through each magnetic pole, under the action of magnetic stirring, can improve the quality of magnetic products. At one end of the spindle, it is a square extension structure, which can use a hand plate to rotate the magnetic pole of the magnetic drum around the axis to meet the selection needs of different minerals.</w:t>
      </w:r>
    </w:p>
    <w:p>
      <w:pPr>
        <w:spacing w:line="360" w:lineRule="auto"/>
        <w:ind w:firstLine="546" w:firstLineChars="200"/>
        <w:rPr>
          <w:rFonts w:hint="default" w:ascii="Calibri" w:hAnsi="Calibri" w:cs="Calibri"/>
          <w:spacing w:val="16"/>
          <w:sz w:val="24"/>
        </w:rPr>
      </w:pPr>
      <w:r>
        <w:rPr>
          <w:rFonts w:hint="default" w:ascii="Calibri" w:hAnsi="Calibri" w:cs="Calibri"/>
          <w:b/>
          <w:bCs/>
          <w:spacing w:val="16"/>
          <w:sz w:val="24"/>
        </w:rPr>
        <w:t xml:space="preserve">3, transmission device: </w:t>
      </w:r>
      <w:r>
        <w:rPr>
          <w:rFonts w:hint="default" w:ascii="Calibri" w:hAnsi="Calibri" w:cs="Calibri"/>
          <w:spacing w:val="16"/>
          <w:sz w:val="24"/>
        </w:rPr>
        <w:t>installed at the bottom of the side of the rack, in order to reduce the center of gravity, transmission part consists of three ac motor and worm wheel, worm gearbox, the output of the transmission through the chain to magnetic drum, drive magnetic drum rotation (pole is not turn), the speed of the drum for the constant speed 25 RPM, magnetic drum rotation direction is consistent with ore direction.</w:t>
      </w:r>
    </w:p>
    <w:p>
      <w:pPr>
        <w:spacing w:line="360" w:lineRule="auto"/>
        <w:ind w:firstLine="546" w:firstLineChars="200"/>
        <w:rPr>
          <w:rFonts w:hint="default" w:ascii="Calibri" w:hAnsi="Calibri" w:cs="Calibri"/>
          <w:b/>
          <w:bCs/>
          <w:spacing w:val="16"/>
          <w:sz w:val="24"/>
        </w:rPr>
      </w:pPr>
      <w:r>
        <w:rPr>
          <w:rFonts w:hint="default" w:ascii="Calibri" w:hAnsi="Calibri" w:cs="Calibri"/>
          <w:b/>
          <w:bCs/>
          <w:spacing w:val="16"/>
          <w:sz w:val="24"/>
        </w:rPr>
        <w:t>4. Mining tank:</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It is made of aluminum and stainless steel plate welding and fixed on the rack on the feed side of the mine tank and the lower part of the concentrate tank for connection.</w:t>
      </w:r>
    </w:p>
    <w:p>
      <w:pPr>
        <w:spacing w:line="360" w:lineRule="auto"/>
        <w:ind w:firstLine="546" w:firstLineChars="200"/>
        <w:rPr>
          <w:rFonts w:hint="default" w:ascii="Calibri" w:hAnsi="Calibri" w:cs="Calibri"/>
          <w:b/>
          <w:bCs/>
          <w:spacing w:val="16"/>
          <w:sz w:val="24"/>
        </w:rPr>
      </w:pPr>
      <w:r>
        <w:rPr>
          <w:rFonts w:hint="default" w:ascii="Calibri" w:hAnsi="Calibri" w:cs="Calibri"/>
          <w:b/>
          <w:bCs/>
          <w:spacing w:val="16"/>
          <w:sz w:val="24"/>
        </w:rPr>
        <w:t>5. Spray pipe:</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A copper pipe with a hole installed on the rack is connected with the indoor water source for flushing the concentrate on the magnetic drum; the water spray angle can be adjusted by rotating the water pipe.</w:t>
      </w:r>
    </w:p>
    <w:p>
      <w:pPr>
        <w:spacing w:line="360" w:lineRule="auto"/>
        <w:ind w:firstLine="546" w:firstLineChars="200"/>
        <w:rPr>
          <w:rFonts w:hint="default" w:ascii="Calibri" w:hAnsi="Calibri" w:cs="Calibri"/>
          <w:b/>
          <w:bCs/>
          <w:spacing w:val="16"/>
          <w:sz w:val="24"/>
        </w:rPr>
      </w:pPr>
      <w:r>
        <w:rPr>
          <w:rFonts w:hint="default" w:ascii="Calibri" w:hAnsi="Calibri" w:cs="Calibri"/>
          <w:b/>
          <w:bCs/>
          <w:spacing w:val="16"/>
          <w:sz w:val="24"/>
        </w:rPr>
        <w:t>6. Paving deposit box:</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The box is made of stainless steel plate welding, which is to ensure the uniformity of feeding.</w:t>
      </w:r>
    </w:p>
    <w:p>
      <w:pPr>
        <w:rPr>
          <w:rFonts w:hint="eastAsia"/>
          <w:b/>
          <w:sz w:val="28"/>
          <w:szCs w:val="28"/>
        </w:rPr>
      </w:pPr>
      <w:r>
        <w:rPr>
          <w:rFonts w:hint="eastAsia"/>
          <w:b/>
          <w:sz w:val="28"/>
          <w:szCs w:val="28"/>
        </w:rPr>
        <w:t>4. Installation, use, maintenance, and precautions</w:t>
      </w:r>
    </w:p>
    <w:p>
      <w:pPr>
        <w:spacing w:line="360" w:lineRule="auto"/>
        <w:ind w:firstLine="546" w:firstLineChars="200"/>
        <w:rPr>
          <w:rFonts w:hint="default" w:ascii="Calibri" w:hAnsi="Calibri" w:cs="Calibri"/>
          <w:b/>
          <w:bCs/>
          <w:spacing w:val="16"/>
          <w:sz w:val="24"/>
        </w:rPr>
      </w:pPr>
      <w:r>
        <w:rPr>
          <w:rFonts w:hint="default" w:ascii="Calibri" w:hAnsi="Calibri" w:cs="Calibri"/>
          <w:b/>
          <w:bCs/>
          <w:spacing w:val="16"/>
          <w:sz w:val="24"/>
        </w:rPr>
        <w:t>(1) Installation</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After the machine is opened, it can be placed on the general workshop or laboratory floor, first clean the packaging oil, check whether the welding of fasteners and electrical components is loose and fall off, considering the inspection and maintenance of other supporting equipment, but also consider the discharge of power supply, tap water and waste water. After connecting the three-phase four-wire power supply, try driving, rotate the magnetic cylinder in the direction shown by the red arrow, and use each part after observing the normal condition. If the magnetic cylinder is found to convey to the opposite, the transmission motor three wiring can be arbitrarily replaced with two of them.</w:t>
      </w:r>
    </w:p>
    <w:p>
      <w:pPr>
        <w:spacing w:line="360" w:lineRule="auto"/>
        <w:ind w:firstLine="546" w:firstLineChars="200"/>
        <w:rPr>
          <w:rFonts w:hint="default" w:ascii="Calibri" w:hAnsi="Calibri" w:cs="Calibri"/>
          <w:b/>
          <w:bCs/>
          <w:spacing w:val="16"/>
          <w:sz w:val="24"/>
        </w:rPr>
      </w:pPr>
      <w:r>
        <w:rPr>
          <w:rFonts w:hint="default" w:ascii="Calibri" w:hAnsi="Calibri" w:cs="Calibri"/>
          <w:b/>
          <w:bCs/>
          <w:spacing w:val="16"/>
          <w:sz w:val="24"/>
        </w:rPr>
        <w:t>(2) Use</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1. turn on the power supply, turn on the power switch, when there is a magnetic current output, the power indicator is on.</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2. Turn on the running switch, and the magnetic drum rotates in the normal direction.</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3. Rotate and adjust the position of the magnetic pole, make the fan magnetic pole in the required position, adjust the voltage regulator handle, so that the output DC current in the required value.(Limit use value of 3.5A)</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4. Feed the mine and open the water spray pipe at the same time.(Water pressure is &lt;0.1 Mpa).</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5. After the feeding, put the running knob switch in the "break" position, make the rotating cylinder stop rotating, close the recoil water pipe and water spray pipe, and then row the tailings.</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6. Drainage of concentrate.</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7, cut off the exciting magnetic power supply, cut off the magnetic power supply.</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8. Rinse the tailings tank again, and combine the two products into concentrate products.</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9. After the operation, conduct a thorough rinse; the regulator handle is zero, cut off the power switch, and then cut off the power supply of the whole machine, and the first test is finished.</w:t>
      </w:r>
    </w:p>
    <w:p>
      <w:pPr>
        <w:spacing w:line="360" w:lineRule="auto"/>
        <w:ind w:firstLine="546" w:firstLineChars="200"/>
        <w:rPr>
          <w:rFonts w:hint="default" w:ascii="Calibri" w:hAnsi="Calibri" w:cs="Calibri"/>
          <w:b/>
          <w:bCs/>
          <w:spacing w:val="16"/>
          <w:sz w:val="24"/>
        </w:rPr>
      </w:pPr>
      <w:r>
        <w:rPr>
          <w:rFonts w:hint="default" w:ascii="Calibri" w:hAnsi="Calibri" w:cs="Calibri"/>
          <w:b/>
          <w:bCs/>
          <w:spacing w:val="16"/>
          <w:sz w:val="24"/>
        </w:rPr>
        <w:t>(3) Maintenance:</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1. Before use, check the rotating part of the equipment, electrical components and other parts, carefully, and make sure that the equipment is in normal condition.</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2. The continuous working time of the equipment shall not exceed 3 hours.</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3. The lubricant in the reducer shall be replaced once every six months.</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4. In the process of using the equipment, if the insurance is broken, it must check for short circuit before replacement; it is strictly prohibited to use unqualified insurance pipe or connect connected with copper wire.</w:t>
      </w:r>
    </w:p>
    <w:p>
      <w:pPr>
        <w:spacing w:line="360" w:lineRule="auto"/>
        <w:ind w:firstLine="546" w:firstLineChars="200"/>
        <w:rPr>
          <w:rFonts w:hint="default" w:ascii="Calibri" w:hAnsi="Calibri" w:cs="Calibri"/>
          <w:b/>
          <w:bCs/>
          <w:spacing w:val="16"/>
          <w:sz w:val="24"/>
        </w:rPr>
      </w:pPr>
      <w:r>
        <w:rPr>
          <w:rFonts w:hint="default" w:ascii="Calibri" w:hAnsi="Calibri" w:cs="Calibri"/>
          <w:b/>
          <w:bCs/>
          <w:spacing w:val="16"/>
          <w:sz w:val="24"/>
        </w:rPr>
        <w:t>(4) Note:</w:t>
      </w:r>
    </w:p>
    <w:p>
      <w:pPr>
        <w:spacing w:line="360" w:lineRule="auto"/>
        <w:ind w:firstLine="544" w:firstLineChars="200"/>
        <w:rPr>
          <w:rFonts w:hint="default" w:ascii="Calibri" w:hAnsi="Calibri" w:cs="Calibri"/>
          <w:spacing w:val="16"/>
          <w:sz w:val="24"/>
        </w:rPr>
      </w:pPr>
      <w:r>
        <w:rPr>
          <w:rFonts w:hint="default" w:ascii="Calibri" w:hAnsi="Calibri" w:cs="Calibri"/>
          <w:spacing w:val="16"/>
          <w:sz w:val="24"/>
        </w:rPr>
        <w:t>It is strictly prohibited to cut off the power supply during the high current operation of the equipment. The power supply must be turned off only after the ammeter is adjusted to zero position to prevent possible dangerous situations such as circuit and motor damage.</w:t>
      </w:r>
    </w:p>
    <w:p>
      <w:pPr>
        <w:ind w:left="-8" w:leftChars="-4" w:firstLine="6" w:firstLineChars="3"/>
        <w:rPr>
          <w:rFonts w:hint="eastAsia"/>
        </w:rPr>
      </w:pPr>
      <w:r>
        <w:drawing>
          <wp:inline distT="0" distB="0" distL="114300" distR="114300">
            <wp:extent cx="6292215" cy="8996045"/>
            <wp:effectExtent l="0" t="0" r="13335" b="14605"/>
            <wp:docPr id="1" name="图片 1" descr="CCI20151014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CI20151014_0002"/>
                    <pic:cNvPicPr>
                      <a:picLocks noChangeAspect="1"/>
                    </pic:cNvPicPr>
                  </pic:nvPicPr>
                  <pic:blipFill>
                    <a:blip r:embed="rId6"/>
                    <a:stretch>
                      <a:fillRect/>
                    </a:stretch>
                  </pic:blipFill>
                  <pic:spPr>
                    <a:xfrm>
                      <a:off x="0" y="0"/>
                      <a:ext cx="6292215" cy="8996045"/>
                    </a:xfrm>
                    <a:prstGeom prst="rect">
                      <a:avLst/>
                    </a:prstGeom>
                    <a:noFill/>
                    <a:ln>
                      <a:noFill/>
                    </a:ln>
                  </pic:spPr>
                </pic:pic>
              </a:graphicData>
            </a:graphic>
          </wp:inline>
        </w:drawing>
      </w:r>
    </w:p>
    <w:p>
      <w:pPr>
        <w:ind w:left="-5" w:leftChars="-258" w:hanging="537" w:hangingChars="256"/>
        <w:jc w:val="center"/>
        <w:rPr>
          <w:rFonts w:hint="eastAsia"/>
        </w:rPr>
      </w:pPr>
      <w:r>
        <w:drawing>
          <wp:inline distT="0" distB="0" distL="114300" distR="114300">
            <wp:extent cx="6130925" cy="8734425"/>
            <wp:effectExtent l="0" t="0" r="3175" b="9525"/>
            <wp:docPr id="2" name="图片 2" descr="CCI2015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CI20151014"/>
                    <pic:cNvPicPr>
                      <a:picLocks noChangeAspect="1"/>
                    </pic:cNvPicPr>
                  </pic:nvPicPr>
                  <pic:blipFill>
                    <a:blip r:embed="rId7"/>
                    <a:stretch>
                      <a:fillRect/>
                    </a:stretch>
                  </pic:blipFill>
                  <pic:spPr>
                    <a:xfrm>
                      <a:off x="0" y="0"/>
                      <a:ext cx="6130925" cy="8734425"/>
                    </a:xfrm>
                    <a:prstGeom prst="rect">
                      <a:avLst/>
                    </a:prstGeom>
                    <a:noFill/>
                    <a:ln>
                      <a:noFill/>
                    </a:ln>
                  </pic:spPr>
                </pic:pic>
              </a:graphicData>
            </a:graphic>
          </wp:inline>
        </w:drawing>
      </w:r>
    </w:p>
    <w:p>
      <w:pPr>
        <w:ind w:leftChars="-257" w:hanging="539" w:hangingChars="257"/>
        <w:jc w:val="center"/>
        <w:rPr>
          <w:rFonts w:hint="eastAsia"/>
        </w:rPr>
      </w:pPr>
      <w:r>
        <w:drawing>
          <wp:inline distT="0" distB="0" distL="114300" distR="114300">
            <wp:extent cx="6270625" cy="8964930"/>
            <wp:effectExtent l="0" t="0" r="15875" b="7620"/>
            <wp:docPr id="3" name="图片 3" descr="CCI20151014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CI20151014_0001"/>
                    <pic:cNvPicPr>
                      <a:picLocks noChangeAspect="1"/>
                    </pic:cNvPicPr>
                  </pic:nvPicPr>
                  <pic:blipFill>
                    <a:blip r:embed="rId8"/>
                    <a:stretch>
                      <a:fillRect/>
                    </a:stretch>
                  </pic:blipFill>
                  <pic:spPr>
                    <a:xfrm>
                      <a:off x="0" y="0"/>
                      <a:ext cx="6270625" cy="8964930"/>
                    </a:xfrm>
                    <a:prstGeom prst="rect">
                      <a:avLst/>
                    </a:prstGeom>
                    <a:noFill/>
                    <a:ln>
                      <a:noFill/>
                    </a:ln>
                  </pic:spPr>
                </pic:pic>
              </a:graphicData>
            </a:graphic>
          </wp:inline>
        </w:drawing>
      </w:r>
    </w:p>
    <w:p>
      <w:pPr>
        <w:ind w:leftChars="-257" w:hanging="539" w:hangingChars="257"/>
        <w:jc w:val="center"/>
      </w:pPr>
      <w:r>
        <w:drawing>
          <wp:inline distT="0" distB="0" distL="114300" distR="114300">
            <wp:extent cx="4269105" cy="3137535"/>
            <wp:effectExtent l="0" t="0" r="17145" b="5715"/>
            <wp:docPr id="4" name="图片 4" descr="1606975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6975162(1)"/>
                    <pic:cNvPicPr>
                      <a:picLocks noChangeAspect="1"/>
                    </pic:cNvPicPr>
                  </pic:nvPicPr>
                  <pic:blipFill>
                    <a:blip r:embed="rId9"/>
                    <a:stretch>
                      <a:fillRect/>
                    </a:stretch>
                  </pic:blipFill>
                  <pic:spPr>
                    <a:xfrm>
                      <a:off x="0" y="0"/>
                      <a:ext cx="4269105" cy="3137535"/>
                    </a:xfrm>
                    <a:prstGeom prst="rect">
                      <a:avLst/>
                    </a:prstGeom>
                    <a:noFill/>
                    <a:ln>
                      <a:noFill/>
                    </a:ln>
                  </pic:spPr>
                </pic:pic>
              </a:graphicData>
            </a:graphic>
          </wp:inline>
        </w:drawing>
      </w: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center"/>
      </w:pPr>
    </w:p>
    <w:p>
      <w:pPr>
        <w:ind w:leftChars="-257" w:hanging="539" w:hangingChars="257"/>
        <w:jc w:val="both"/>
        <w:rPr>
          <w:rFonts w:hint="eastAsia"/>
        </w:rPr>
      </w:pPr>
    </w:p>
    <w:sectPr>
      <w:headerReference r:id="rId3" w:type="default"/>
      <w:footerReference r:id="rId4"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行楷简体">
    <w:altName w:val="宋体"/>
    <w:panose1 w:val="0201060103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sz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21"/>
      </w:rPr>
      <mc:AlternateContent>
        <mc:Choice Requires="wps">
          <w:drawing>
            <wp:anchor distT="0" distB="0" distL="114300" distR="114300" simplePos="0" relativeHeight="251660288" behindDoc="0" locked="0" layoutInCell="1" allowOverlap="1">
              <wp:simplePos x="0" y="0"/>
              <wp:positionH relativeFrom="column">
                <wp:posOffset>186055</wp:posOffset>
              </wp:positionH>
              <wp:positionV relativeFrom="paragraph">
                <wp:posOffset>81915</wp:posOffset>
              </wp:positionV>
              <wp:extent cx="5401310" cy="0"/>
              <wp:effectExtent l="0" t="0" r="0" b="0"/>
              <wp:wrapNone/>
              <wp:docPr id="10" name="自选图形 1029"/>
              <wp:cNvGraphicFramePr/>
              <a:graphic xmlns:a="http://schemas.openxmlformats.org/drawingml/2006/main">
                <a:graphicData uri="http://schemas.microsoft.com/office/word/2010/wordprocessingShape">
                  <wps:wsp>
                    <wps:cNvCnPr/>
                    <wps:spPr>
                      <a:xfrm>
                        <a:off x="0" y="0"/>
                        <a:ext cx="5401310" cy="0"/>
                      </a:xfrm>
                      <a:prstGeom prst="straightConnector1">
                        <a:avLst/>
                      </a:prstGeom>
                      <a:ln w="15875" cap="flat" cmpd="sng">
                        <a:solidFill>
                          <a:srgbClr val="739CC3"/>
                        </a:solidFill>
                        <a:prstDash val="solid"/>
                        <a:headEnd type="none" w="med" len="med"/>
                        <a:tailEnd type="none" w="med" len="med"/>
                      </a:ln>
                    </wps:spPr>
                    <wps:bodyPr/>
                  </wps:wsp>
                </a:graphicData>
              </a:graphic>
            </wp:anchor>
          </w:drawing>
        </mc:Choice>
        <mc:Fallback>
          <w:pict>
            <v:shape id="自选图形 1029" o:spid="_x0000_s1026" o:spt="32" type="#_x0000_t32" style="position:absolute;left:0pt;margin-left:14.65pt;margin-top:6.45pt;height:0pt;width:425.3pt;z-index:251660288;mso-width-relative:page;mso-height-relative:page;" filled="f" stroked="t" coordsize="21600,21600" o:gfxdata="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BAzwdUAAAAIAQAADwAAAAAAAAABACAAAAAiAAAAZHJzL2Rvd25yZXYueG1s&#10;UEsBAhQAFAAAAAgAh07iQDWECe77AQAA6AMAAA4AAAAAAAAAAQAgAAAAJAEAAGRycy9lMm9Eb2Mu&#10;eG1sUEsFBgAAAAAGAAYAWQEAAJEFAAAAAA==&#10;">
              <v:fill on="f" focussize="0,0"/>
              <v:stroke weight="1.25pt" color="#739CC3" joinstyle="round"/>
              <v:imagedata o:title=""/>
              <o:lock v:ext="edit" aspectratio="f"/>
            </v:shape>
          </w:pict>
        </mc:Fallback>
      </mc:AlternateContent>
    </w:r>
  </w:p>
  <w:p>
    <w:pPr>
      <w:pStyle w:val="2"/>
      <w:ind w:firstLine="630" w:firstLineChars="300"/>
      <w:rPr>
        <w:rFonts w:hint="eastAsia"/>
        <w:sz w:val="21"/>
      </w:rPr>
    </w:pPr>
    <w:r>
      <w:rPr>
        <w:rFonts w:hint="eastAsia"/>
        <w:sz w:val="21"/>
      </w:rPr>
      <w:t>电话：</w:t>
    </w:r>
    <w:r>
      <w:rPr>
        <w:rFonts w:hint="eastAsia"/>
        <w:sz w:val="24"/>
        <w:szCs w:val="24"/>
      </w:rPr>
      <w:t>0797-5745599/</w:t>
    </w:r>
    <w:r>
      <w:rPr>
        <w:rFonts w:hint="eastAsia"/>
        <w:sz w:val="21"/>
      </w:rPr>
      <w:t>18389228612                     网址：</w:t>
    </w:r>
    <w:r>
      <w:rPr>
        <w:sz w:val="21"/>
      </w:rPr>
      <w:t>http://oasisjx.com</w:t>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ascii="Arial" w:hAnsi="Arial" w:cs="Arial"/>
        <w:color w:val="2B2B2B"/>
        <w:sz w:val="21"/>
        <w:szCs w:val="21"/>
      </w:rPr>
    </w:pPr>
    <w:r>
      <w:rPr>
        <w:rFonts w:hint="eastAsia" w:ascii="方正行楷简体" w:hAnsi="Arial" w:eastAsia="方正行楷简体" w:cs="Arial"/>
      </w:rPr>
      <w:t xml:space="preserve">石城县绿洲选矿设备制造有限公司  </w:t>
    </w:r>
    <w:r>
      <w:rPr>
        <w:rFonts w:ascii="Arial" w:hAnsi="Arial" w:cs="Arial"/>
        <w:color w:val="2B2B2B"/>
        <w:sz w:val="21"/>
        <w:szCs w:val="21"/>
      </w:rPr>
      <w:t>Sh</w:t>
    </w:r>
    <w:r>
      <w:rPr>
        <w:rFonts w:hint="eastAsia" w:ascii="Arial" w:hAnsi="Arial" w:cs="Arial"/>
        <w:color w:val="2B2B2B"/>
        <w:sz w:val="21"/>
        <w:szCs w:val="21"/>
      </w:rPr>
      <w:t>iC</w:t>
    </w:r>
    <w:r>
      <w:rPr>
        <w:rFonts w:ascii="Arial" w:hAnsi="Arial" w:cs="Arial"/>
        <w:color w:val="2B2B2B"/>
        <w:sz w:val="21"/>
        <w:szCs w:val="21"/>
      </w:rPr>
      <w:t>h</w:t>
    </w:r>
    <w:r>
      <w:rPr>
        <w:rFonts w:hint="eastAsia" w:ascii="Arial" w:hAnsi="Arial" w:cs="Arial"/>
        <w:color w:val="2B2B2B"/>
        <w:sz w:val="21"/>
        <w:szCs w:val="21"/>
      </w:rPr>
      <w:t>e</w:t>
    </w:r>
    <w:r>
      <w:rPr>
        <w:rFonts w:ascii="Arial" w:hAnsi="Arial" w:cs="Arial"/>
        <w:color w:val="2B2B2B"/>
        <w:sz w:val="21"/>
        <w:szCs w:val="21"/>
      </w:rPr>
      <w:t>ng</w:t>
    </w:r>
    <w:r>
      <w:rPr>
        <w:rFonts w:hint="eastAsia" w:ascii="Arial" w:hAnsi="Arial" w:cs="Arial"/>
        <w:color w:val="2B2B2B"/>
        <w:sz w:val="21"/>
        <w:szCs w:val="21"/>
      </w:rPr>
      <w:t xml:space="preserve"> O</w:t>
    </w:r>
    <w:r>
      <w:rPr>
        <w:rFonts w:ascii="Arial" w:hAnsi="Arial" w:cs="Arial"/>
        <w:color w:val="2B2B2B"/>
        <w:sz w:val="21"/>
        <w:szCs w:val="21"/>
      </w:rPr>
      <w:t xml:space="preserve">asis </w:t>
    </w:r>
    <w:r>
      <w:rPr>
        <w:rFonts w:hint="eastAsia" w:ascii="Arial" w:hAnsi="Arial" w:cs="Arial"/>
        <w:color w:val="2B2B2B"/>
        <w:sz w:val="21"/>
        <w:szCs w:val="21"/>
      </w:rPr>
      <w:t>Mineral</w:t>
    </w:r>
    <w:r>
      <w:rPr>
        <w:rFonts w:ascii="Arial" w:hAnsi="Arial" w:cs="Arial"/>
        <w:color w:val="2B2B2B"/>
        <w:sz w:val="21"/>
        <w:szCs w:val="21"/>
      </w:rPr>
      <w:t xml:space="preserve"> </w:t>
    </w:r>
    <w:r>
      <w:rPr>
        <w:rFonts w:hint="eastAsia" w:ascii="Arial" w:hAnsi="Arial" w:cs="Arial"/>
        <w:color w:val="2B2B2B"/>
        <w:sz w:val="21"/>
        <w:szCs w:val="21"/>
      </w:rPr>
      <w:t>E</w:t>
    </w:r>
    <w:r>
      <w:rPr>
        <w:rFonts w:ascii="Arial" w:hAnsi="Arial" w:cs="Arial"/>
        <w:color w:val="2B2B2B"/>
        <w:sz w:val="21"/>
        <w:szCs w:val="21"/>
      </w:rPr>
      <w:t>quipment</w:t>
    </w:r>
    <w:r>
      <w:rPr>
        <w:rFonts w:hint="eastAsia" w:ascii="Arial" w:hAnsi="Arial" w:cs="Arial"/>
        <w:color w:val="2B2B2B"/>
        <w:sz w:val="21"/>
        <w:szCs w:val="21"/>
      </w:rPr>
      <w:t xml:space="preserve"> M</w:t>
    </w:r>
    <w:r>
      <w:rPr>
        <w:rFonts w:ascii="Arial" w:hAnsi="Arial" w:cs="Arial"/>
        <w:color w:val="2B2B2B"/>
        <w:sz w:val="21"/>
        <w:szCs w:val="21"/>
      </w:rPr>
      <w:t>anufacturing Co., LTD</w:t>
    </w:r>
  </w:p>
  <w:p>
    <w:pPr>
      <w:pStyle w:val="3"/>
      <w:pBdr>
        <w:bottom w:val="none" w:color="auto" w:sz="0" w:space="0"/>
      </w:pBdr>
      <w:ind w:right="360"/>
      <w:jc w:val="right"/>
      <w:rPr>
        <w:rFonts w:hint="eastAsia" w:ascii="仿宋" w:hAnsi="仿宋" w:eastAsia="仿宋"/>
        <w:sz w:val="22"/>
      </w:rPr>
    </w:pPr>
    <w:r>
      <w:rPr>
        <w:rFonts w:hint="eastAsia"/>
        <w:u w:val="single"/>
        <w:lang w:val="en-US" w:eastAsia="zh-CN"/>
      </w:rPr>
      <w:t xml:space="preserve">            </w:t>
    </w:r>
    <w:r>
      <w:rPr>
        <w:rFonts w:hint="eastAsia"/>
        <w:u w:val="single"/>
      </w:rPr>
      <w:t>诚</w:t>
    </w:r>
    <w:r>
      <w:rPr>
        <w:rFonts w:hint="eastAsia" w:ascii="方正行楷简体" w:eastAsia="方正行楷简体"/>
        <w:u w:val="single"/>
      </w:rPr>
      <w:t>信友谊 质量第一</w:t>
    </w:r>
    <w:r>
      <w:rPr>
        <w:rFonts w:hint="eastAsia"/>
        <w:u w:val="single"/>
      </w:rPr>
      <w:t xml:space="preserve">               </w:t>
    </w:r>
    <w:r>
      <w:rPr>
        <w:rFonts w:ascii="Arial" w:hAnsi="Arial" w:cs="Arial"/>
        <w:u w:val="single"/>
      </w:rPr>
      <w:t xml:space="preserve"> Integrity Friendship Quality first</w:t>
    </w:r>
  </w:p>
  <w:p>
    <w:pPr>
      <w:pStyle w:val="3"/>
      <w:pBdr>
        <w:bottom w:val="none" w:color="auto" w:sz="0" w:space="0"/>
      </w:pBdr>
      <w:ind w:right="270"/>
      <w:jc w:val="right"/>
      <w:rPr>
        <w:rFonts w:hint="eastAsia" w:ascii="仿宋" w:hAnsi="仿宋" w:eastAsia="仿宋"/>
        <w:sz w:val="22"/>
      </w:rPr>
    </w:pPr>
    <w:r>
      <w:rPr>
        <w:rFonts w:hint="eastAsia" w:ascii="仿宋" w:hAnsi="仿宋" w:eastAsia="仿宋"/>
        <w:sz w:val="22"/>
      </w:rPr>
      <mc:AlternateContent>
        <mc:Choice Requires="wps">
          <w:drawing>
            <wp:anchor distT="0" distB="0" distL="114300" distR="114300" simplePos="0" relativeHeight="251659264" behindDoc="0" locked="0" layoutInCell="1" allowOverlap="1">
              <wp:simplePos x="0" y="0"/>
              <wp:positionH relativeFrom="column">
                <wp:posOffset>186055</wp:posOffset>
              </wp:positionH>
              <wp:positionV relativeFrom="paragraph">
                <wp:posOffset>150495</wp:posOffset>
              </wp:positionV>
              <wp:extent cx="5401310" cy="0"/>
              <wp:effectExtent l="0" t="0" r="0" b="0"/>
              <wp:wrapNone/>
              <wp:docPr id="9" name="自选图形 1028"/>
              <wp:cNvGraphicFramePr/>
              <a:graphic xmlns:a="http://schemas.openxmlformats.org/drawingml/2006/main">
                <a:graphicData uri="http://schemas.microsoft.com/office/word/2010/wordprocessingShape">
                  <wps:wsp>
                    <wps:cNvCnPr/>
                    <wps:spPr>
                      <a:xfrm>
                        <a:off x="0" y="0"/>
                        <a:ext cx="5401310" cy="0"/>
                      </a:xfrm>
                      <a:prstGeom prst="straightConnector1">
                        <a:avLst/>
                      </a:prstGeom>
                      <a:ln w="15875" cap="flat" cmpd="sng">
                        <a:solidFill>
                          <a:srgbClr val="739CC3"/>
                        </a:solidFill>
                        <a:prstDash val="solid"/>
                        <a:headEnd type="none" w="med" len="med"/>
                        <a:tailEnd type="none" w="med" len="med"/>
                      </a:ln>
                    </wps:spPr>
                    <wps:bodyPr/>
                  </wps:wsp>
                </a:graphicData>
              </a:graphic>
            </wp:anchor>
          </w:drawing>
        </mc:Choice>
        <mc:Fallback>
          <w:pict>
            <v:shape id="自选图形 1028" o:spid="_x0000_s1026" o:spt="32" type="#_x0000_t32" style="position:absolute;left:0pt;margin-left:14.65pt;margin-top:11.85pt;height:0pt;width:425.3pt;z-index:251659264;mso-width-relative:page;mso-height-relative:page;" filled="f" stroked="t" coordsize="21600,21600" o:gfxdata="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97k8/1gAAAAgBAAAPAAAAAAAAAAEAIAAAACIAAABkcnMvZG93bnJldi54&#10;bWxQSwECFAAUAAAACACHTuJAJJ9VVPwBAADnAwAADgAAAAAAAAABACAAAAAlAQAAZHJzL2Uyb0Rv&#10;Yy54bWxQSwUGAAAAAAYABgBZAQAAkwUAAAAA&#10;">
              <v:fill on="f" focussize="0,0"/>
              <v:stroke weight="1.25pt" color="#739CC3" joinstyle="round"/>
              <v:imagedata o:title=""/>
              <o:lock v:ext="edit" aspectratio="f"/>
            </v:shape>
          </w:pict>
        </mc:Fallback>
      </mc:AlternateContent>
    </w:r>
  </w:p>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wMDg2NDg1Zjg5NDc0ZGUwYjNiNmYyM2UxNGE4ZjEifQ=="/>
  </w:docVars>
  <w:rsids>
    <w:rsidRoot w:val="00927032"/>
    <w:rsid w:val="000272D6"/>
    <w:rsid w:val="000E05B1"/>
    <w:rsid w:val="00135D32"/>
    <w:rsid w:val="00161161"/>
    <w:rsid w:val="001748C6"/>
    <w:rsid w:val="0024561B"/>
    <w:rsid w:val="002C65DB"/>
    <w:rsid w:val="002C7D49"/>
    <w:rsid w:val="003954D0"/>
    <w:rsid w:val="003C1CD0"/>
    <w:rsid w:val="0045521D"/>
    <w:rsid w:val="00460C66"/>
    <w:rsid w:val="00470A15"/>
    <w:rsid w:val="004964E3"/>
    <w:rsid w:val="00533A78"/>
    <w:rsid w:val="00563AD1"/>
    <w:rsid w:val="005E6876"/>
    <w:rsid w:val="00693DFA"/>
    <w:rsid w:val="006A4AA4"/>
    <w:rsid w:val="007039C7"/>
    <w:rsid w:val="0074393B"/>
    <w:rsid w:val="00783E9B"/>
    <w:rsid w:val="00927032"/>
    <w:rsid w:val="009D7BB9"/>
    <w:rsid w:val="009E6DC2"/>
    <w:rsid w:val="00AB5108"/>
    <w:rsid w:val="00BF5286"/>
    <w:rsid w:val="00BF755F"/>
    <w:rsid w:val="00C24A37"/>
    <w:rsid w:val="00C52777"/>
    <w:rsid w:val="00CB4A01"/>
    <w:rsid w:val="00D007A5"/>
    <w:rsid w:val="00F12D97"/>
    <w:rsid w:val="09335A67"/>
    <w:rsid w:val="136D586C"/>
    <w:rsid w:val="19C53E20"/>
    <w:rsid w:val="3A6D0FFF"/>
    <w:rsid w:val="3B437D5D"/>
    <w:rsid w:val="5121648D"/>
    <w:rsid w:val="709D7913"/>
    <w:rsid w:val="75EE5A51"/>
    <w:rsid w:val="7CC80FA9"/>
    <w:rsid w:val="F3EB4ED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_Style 6"/>
    <w:basedOn w:val="1"/>
    <w:qFormat/>
    <w:uiPriority w:val="34"/>
    <w:pPr>
      <w:ind w:firstLine="420" w:firstLineChars="200"/>
    </w:pPr>
  </w:style>
  <w:style w:type="character" w:customStyle="1" w:styleId="8">
    <w:name w:val="页眉 Char"/>
    <w:basedOn w:val="6"/>
    <w:link w:val="3"/>
    <w:qFormat/>
    <w:uiPriority w:val="0"/>
    <w:rPr>
      <w:kern w:val="2"/>
      <w:sz w:val="18"/>
      <w:szCs w:val="18"/>
    </w:rPr>
  </w:style>
  <w:style w:type="paragraph" w:customStyle="1" w:styleId="9">
    <w:name w:val="tgt1"/>
    <w:basedOn w:val="1"/>
    <w:qFormat/>
    <w:uiPriority w:val="0"/>
    <w:pPr>
      <w:widowControl/>
      <w:spacing w:after="150"/>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2543</Words>
  <Characters>6565</Characters>
  <Lines>12</Lines>
  <Paragraphs>3</Paragraphs>
  <TotalTime>1</TotalTime>
  <ScaleCrop>false</ScaleCrop>
  <LinksUpToDate>false</LinksUpToDate>
  <CharactersWithSpaces>7531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2020-09-29T09:12:00Z</dcterms:created>
  <dc:creator>X</dc:creator>
  <cp:lastModifiedBy>绿洲选矿设备18389228612宋</cp:lastModifiedBy>
  <cp:lastPrinted>2020-09-20T04:55:00Z</cp:lastPrinted>
  <dcterms:modified xsi:type="dcterms:W3CDTF">2023-06-10T08:58:08Z</dcterms:modified>
  <dc:title>NTL-100×125颚式破碎机（合金）</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7C2A2896CBE44196A304839DE558A7B6_13</vt:lpwstr>
  </property>
</Properties>
</file>